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DF4E9" w14:textId="77777777" w:rsidR="007D3B38" w:rsidRDefault="007D3B38" w:rsidP="007D3B38">
      <w:pPr>
        <w:spacing w:before="100" w:beforeAutospacing="1"/>
        <w:rPr>
          <w:rFonts w:ascii="Cambria" w:eastAsia="MS Mincho" w:hAnsi="Cambria"/>
          <w:sz w:val="22"/>
          <w:szCs w:val="22"/>
          <w:u w:val="single"/>
          <w:lang w:val="en-US" w:eastAsia="en-US"/>
        </w:rPr>
      </w:pPr>
      <w:proofErr w:type="spellStart"/>
      <w:r>
        <w:rPr>
          <w:rFonts w:ascii="Cambria" w:eastAsia="MS Mincho" w:hAnsi="Cambria"/>
          <w:b/>
          <w:spacing w:val="-5"/>
          <w:sz w:val="22"/>
          <w:szCs w:val="22"/>
          <w:u w:val="single"/>
          <w:lang w:val="en-US" w:eastAsia="en-US"/>
        </w:rPr>
        <w:t>Vybrané</w:t>
      </w:r>
      <w:proofErr w:type="spellEnd"/>
      <w:r>
        <w:rPr>
          <w:rFonts w:ascii="Cambria" w:eastAsia="MS Mincho" w:hAnsi="Cambria"/>
          <w:b/>
          <w:spacing w:val="-5"/>
          <w:sz w:val="22"/>
          <w:szCs w:val="22"/>
          <w:u w:val="single"/>
          <w:lang w:val="en-US" w:eastAsia="en-US"/>
        </w:rPr>
        <w:t xml:space="preserve"> </w:t>
      </w:r>
      <w:proofErr w:type="spellStart"/>
      <w:r>
        <w:rPr>
          <w:rFonts w:ascii="Cambria" w:eastAsia="MS Mincho" w:hAnsi="Cambria"/>
          <w:b/>
          <w:spacing w:val="-5"/>
          <w:sz w:val="22"/>
          <w:szCs w:val="22"/>
          <w:u w:val="single"/>
          <w:lang w:val="en-US" w:eastAsia="en-US"/>
        </w:rPr>
        <w:t>publikace</w:t>
      </w:r>
      <w:proofErr w:type="spellEnd"/>
    </w:p>
    <w:p w14:paraId="63B97BF7" w14:textId="77777777" w:rsidR="007D3B38" w:rsidRPr="00195010" w:rsidRDefault="007D3B38" w:rsidP="007D3B38">
      <w:pPr>
        <w:spacing w:before="100" w:beforeAutospacing="1"/>
        <w:rPr>
          <w:rFonts w:ascii="Cambria" w:eastAsia="MS Mincho" w:hAnsi="Cambria"/>
          <w:sz w:val="22"/>
          <w:szCs w:val="22"/>
          <w:u w:val="single"/>
          <w:lang w:val="en-US" w:eastAsia="en-US"/>
        </w:rPr>
      </w:pPr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1.</w:t>
      </w:r>
      <w:r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</w:t>
      </w:r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Dhanani S, Hornby L, van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Beinum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A, Scales NB, Hogue M, Baker A, Beed S, Boyd JG, Chandler JA, Chassé M,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D'Aragon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F,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Dezfulian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C, Doig CJ, Duska F, Friedrich JO, Gardiner D,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Gofton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T, Harvey D,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Herry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C,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Isac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G, Kramer AH,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Kutsogiannis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DJ,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Maslove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DM, Meade M, Mehta S, Munshi L, Norton L,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Pagliarello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G, Ramsay T,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Rusinova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K, Scales D, Schmidt M, Seely A, Shahin J,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Slessarev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M, So D, Talbot H, van Mook WNKA,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Waldauf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P, Weiss M, Wind JT,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Shemie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SD; Canadian Critical Care Trials Group; Canadian Donation and Transplantation Research Program.</w:t>
      </w:r>
      <w:r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</w:t>
      </w:r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Resumption of Cardiac Activity after Withdrawal of Life-Sustaining Measures.</w:t>
      </w:r>
      <w:r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</w:t>
      </w:r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N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Engl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J Med. 2021 Jan 28;384(4):345-352.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doi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: 10.1056/NEJMoa2022713.</w:t>
      </w:r>
    </w:p>
    <w:p w14:paraId="5DD58D18" w14:textId="77777777" w:rsidR="007D3B38" w:rsidRDefault="007D3B38" w:rsidP="007D3B38">
      <w:pPr>
        <w:spacing w:before="100" w:beforeAutospacing="1"/>
        <w:rPr>
          <w:rFonts w:ascii="Cambria" w:eastAsia="MS Mincho" w:hAnsi="Cambria"/>
          <w:sz w:val="22"/>
          <w:szCs w:val="22"/>
          <w:u w:val="single"/>
          <w:lang w:val="en-US" w:eastAsia="en-US"/>
        </w:rPr>
      </w:pPr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2</w:t>
      </w:r>
      <w:r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.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Mokart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D,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Darmon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M,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Schellongowski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P,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Pickkers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P, Soares M,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Rello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J, Bauer PR, van de Louw A,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Lemiale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V,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Taccone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FS, Martin-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Loeches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I,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Salluh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J,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Rusinova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K, Mehta S, Antonelli M,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Kouatchet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A, Barratt-Due A,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Valkonen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M,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Landburg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PP,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Bukan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RB,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Pène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F,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Metaxa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V,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Burghi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G,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Saillard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C, Nielsen LB,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Canet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E,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Bisbal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M,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Azoulay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E; Efraim investigators and the Nine-I study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group.Acute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respiratory failure in immunocompromised patients: outcome and clinical features according to neutropenia status.</w:t>
      </w:r>
      <w:r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</w:t>
      </w:r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Ann Intensive Care. 2020 Oct 22;10(1):146.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doi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: 10.1186/s13613-020-00764-7.</w:t>
      </w:r>
    </w:p>
    <w:p w14:paraId="6492ADCE" w14:textId="77777777" w:rsidR="007D3B38" w:rsidRDefault="007D3B38" w:rsidP="007D3B38">
      <w:pPr>
        <w:spacing w:before="100" w:beforeAutospacing="1"/>
        <w:rPr>
          <w:rFonts w:ascii="Cambria" w:eastAsia="MS Mincho" w:hAnsi="Cambria"/>
          <w:sz w:val="22"/>
          <w:szCs w:val="22"/>
          <w:u w:val="single"/>
          <w:lang w:val="en-US" w:eastAsia="en-US"/>
        </w:rPr>
      </w:pPr>
      <w:r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3. </w:t>
      </w:r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Lopez R,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Rello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J,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Taccone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FS, Salem OBH, Bauer PR,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Séguin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A, van de Louw A,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Metaxa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V,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Klouche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K, Martin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Loeches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I,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Montini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L, Mehta S,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Bruneel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F,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Lisboa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T, Viana W,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Pickkers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P, Russell L,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Rusinova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K,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Kouatchet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A,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Barbier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F,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Mokart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D,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Azoulay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E,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Darmon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M.</w:t>
      </w:r>
      <w:r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</w:t>
      </w:r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Aminoglycosides in Immunocompromised Critically Ill Patients With Bacterial Pneumonia and Septic Shock: A Post-Hoc Analysis of a Prospective Multicenter Multinational Cohort.</w:t>
      </w:r>
      <w:r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</w:t>
      </w:r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Shock. 2020 Dec;54(6):731-737.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doi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: 10.1097/SHK.0000000000001553.</w:t>
      </w:r>
    </w:p>
    <w:p w14:paraId="6A229ABD" w14:textId="77777777" w:rsidR="007D3B38" w:rsidRPr="00195010" w:rsidRDefault="007D3B38" w:rsidP="007D3B38">
      <w:pPr>
        <w:spacing w:before="100" w:beforeAutospacing="1"/>
        <w:rPr>
          <w:rFonts w:ascii="Cambria" w:eastAsia="MS Mincho" w:hAnsi="Cambria"/>
          <w:sz w:val="22"/>
          <w:szCs w:val="22"/>
          <w:u w:val="single"/>
          <w:lang w:val="en-US" w:eastAsia="en-US"/>
        </w:rPr>
      </w:pPr>
      <w:r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4. </w:t>
      </w:r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Van den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Bulcke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B,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Metaxa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V,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Reyners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AK,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Rusinova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K, Jensen HI,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Malmgren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J,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Darmon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M, Talmor D,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Meert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AP,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Cancelliere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L,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Zubek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L, Maia P,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Michalsen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A,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Kompanje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EJO,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Vlerick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P,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Roels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J,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Vansteelandt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S,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Decruyenaere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J,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Azoulay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E,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Vanheule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S, Piers R, Benoit D; DISPROPRICUS study group of the Ethics Section of the ESICM.</w:t>
      </w:r>
      <w:r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E</w:t>
      </w:r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thical climate and intention to leave among critical care clinicians: an observational study in 68 intensive care units across Europe and the United States.</w:t>
      </w:r>
      <w:r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</w:t>
      </w:r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Intensive Care Med. 2020 Jan;46(1):46-56.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doi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: 10.1007/s00134-019-05829-1.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Epub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2019 Nov 5.</w:t>
      </w:r>
    </w:p>
    <w:p w14:paraId="4C973BDF" w14:textId="77777777" w:rsidR="007D3B38" w:rsidRDefault="007D3B38" w:rsidP="007D3B38">
      <w:pPr>
        <w:spacing w:before="100" w:beforeAutospacing="1"/>
        <w:rPr>
          <w:rFonts w:ascii="Cambria" w:eastAsia="MS Mincho" w:hAnsi="Cambria"/>
          <w:sz w:val="22"/>
          <w:szCs w:val="22"/>
          <w:u w:val="single"/>
          <w:lang w:val="en-US" w:eastAsia="en-US"/>
        </w:rPr>
      </w:pPr>
      <w:r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5.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Kopecký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O,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Rusinová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K,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Kouba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M,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Macová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I.</w:t>
      </w:r>
      <w:r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</w:t>
      </w:r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The role of palliative care in acute care setting.</w:t>
      </w:r>
      <w:r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Vnitr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Lek. 2019 Summer;65(6):449-455.</w:t>
      </w:r>
    </w:p>
    <w:p w14:paraId="60E0B379" w14:textId="77777777" w:rsidR="007D3B38" w:rsidRPr="00195010" w:rsidRDefault="007D3B38" w:rsidP="007D3B38">
      <w:pPr>
        <w:spacing w:before="100" w:beforeAutospacing="1"/>
        <w:rPr>
          <w:rFonts w:ascii="Cambria" w:eastAsia="MS Mincho" w:hAnsi="Cambria"/>
          <w:sz w:val="22"/>
          <w:szCs w:val="22"/>
          <w:u w:val="single"/>
          <w:lang w:val="en-US" w:eastAsia="en-US"/>
        </w:rPr>
      </w:pPr>
      <w:r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6. </w:t>
      </w:r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Martin-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Loeches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I,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Lemiale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V, Geoghegan P, McMahon MA,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Pickkers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P, Soares M,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Perner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A,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Meyhoff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TS,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Bukan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RB,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Rello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J, Bauer PR, van de Louw A,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Taccone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FS,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Salluh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J,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Hemelaar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P,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Schellongowski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P,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Rusinova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K, Terzi N, Mehta S, Antonelli M,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Kouatchet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A,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Klepstad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P,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Valkonen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M,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Landburg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PP, Barratt-Due A,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Bruneel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F,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Pène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F,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Metaxa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V, Moreau AS,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Souppart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V,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Burghi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G,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Girault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C, Silva UVA,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Montini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L,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Barbier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F, Nielsen LB,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Gaborit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B,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Mokart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D,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Chevret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S,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Azoulay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E; Efraim investigators and the Nine-I study group.</w:t>
      </w:r>
      <w:r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</w:t>
      </w:r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Influenza and associated co-infections in critically ill immunosuppressed patients.</w:t>
      </w:r>
      <w:r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</w:t>
      </w:r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Crit Care. 2019 May 2;23(1):152.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doi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: 10.1186/s13054-019-2425-6.</w:t>
      </w:r>
    </w:p>
    <w:p w14:paraId="27522484" w14:textId="77777777" w:rsidR="007D3B38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154FA396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>
        <w:rPr>
          <w:rFonts w:ascii="Cambria" w:eastAsia="MS Mincho" w:hAnsi="Cambria"/>
          <w:sz w:val="22"/>
          <w:szCs w:val="22"/>
          <w:lang w:val="en-US" w:eastAsia="en-US"/>
        </w:rPr>
        <w:t>7.</w:t>
      </w: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Rusinova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K,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Darmon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M. Focus on improved patient management. Intensive Care</w:t>
      </w:r>
    </w:p>
    <w:p w14:paraId="2B437DD9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Med. 2018 Dec 17.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doi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: 10.1007/s00134-018-5488-y. </w:t>
      </w:r>
    </w:p>
    <w:p w14:paraId="573FA4D4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3FA33F4B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74BFF7C2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>
        <w:rPr>
          <w:rFonts w:ascii="Cambria" w:eastAsia="MS Mincho" w:hAnsi="Cambria"/>
          <w:sz w:val="22"/>
          <w:szCs w:val="22"/>
          <w:lang w:val="en-US" w:eastAsia="en-US"/>
        </w:rPr>
        <w:t>8.</w:t>
      </w: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Puntillo KA, Max A,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Timsit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JF, Ruckly S,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Chanques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G,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Robleda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G, Roche-Campo F,</w:t>
      </w:r>
    </w:p>
    <w:p w14:paraId="0390D3AD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Mancebo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J,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Divatia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JV, Soares M, Ionescu DC,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Grintescu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IM, Maggiore SM,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Rusinova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</w:p>
    <w:p w14:paraId="6615539C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K,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Owczuk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R,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Egerod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I,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Papathanassoglou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EDE,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Kyranou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M, Joynt GM,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Burghi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G,</w:t>
      </w:r>
    </w:p>
    <w:p w14:paraId="5B35779D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lastRenderedPageBreak/>
        <w:t>Freebairn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RC, Ho KM,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Kaarlola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A, Gerritsen RT,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Kesecioglu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J,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Sulaj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MMS,</w:t>
      </w:r>
    </w:p>
    <w:p w14:paraId="2D3AAA1D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Norrenberg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M, Benoit DD,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Seha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MSG,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Hennein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A, Pereira FJ,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Benbenishty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JS,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Abroug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</w:p>
    <w:p w14:paraId="3E9CD97A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F, Aquilina A, Monte JRC, An Y,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Azoulay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E. Pain distress: the negative emotion</w:t>
      </w:r>
    </w:p>
    <w:p w14:paraId="224FE6FA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associated with procedures in ICU patients. Intensive Care Med. 2018</w:t>
      </w:r>
    </w:p>
    <w:p w14:paraId="6E5CCD80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Sep;44(9):1493-1501.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doi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: 10.1007/s00134-018-5344-0.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Epub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2018 Aug 21. PubMed</w:t>
      </w:r>
    </w:p>
    <w:p w14:paraId="794488AE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PMID: 30128592.</w:t>
      </w:r>
    </w:p>
    <w:p w14:paraId="553C6BAD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09FBBE6B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19C4B7EF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>
        <w:rPr>
          <w:rFonts w:ascii="Cambria" w:eastAsia="MS Mincho" w:hAnsi="Cambria"/>
          <w:sz w:val="22"/>
          <w:szCs w:val="22"/>
          <w:lang w:val="en-US" w:eastAsia="en-US"/>
        </w:rPr>
        <w:t>9.</w:t>
      </w: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Benoit DD, Jensen HI,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Malmgren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J,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Metaxa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V,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Reyners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AK,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Darmon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M,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Rusinova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K, </w:t>
      </w:r>
    </w:p>
    <w:p w14:paraId="2AD113FB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Talmor D,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Meert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AP,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Cancelliere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L,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Zubek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L, Maia P,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Michalsen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A,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Vanheule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S,</w:t>
      </w:r>
    </w:p>
    <w:p w14:paraId="31F85AF4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Kompanje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EJO,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Decruyenaere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J,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Vandenberghe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S,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Vansteelandt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S,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Gadeyne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B, Van den </w:t>
      </w:r>
    </w:p>
    <w:p w14:paraId="1FC60328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Bulcke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B,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Azoulay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E, Piers RD; DISPROPRICUS study group of the Ethics Section of </w:t>
      </w:r>
    </w:p>
    <w:p w14:paraId="0A73D812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the European Society of Intensive Care Medicine. Outcome in patients perceived as</w:t>
      </w:r>
    </w:p>
    <w:p w14:paraId="1934E968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receiving excessive care across different ethical climates: a prospective study</w:t>
      </w:r>
    </w:p>
    <w:p w14:paraId="1DEAFD78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in 68 intensive care units in Europe and the USA. Intensive Care Med. 2018</w:t>
      </w:r>
    </w:p>
    <w:p w14:paraId="5B0AB165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Jul;44(7):1039-1049.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doi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: 10.1007/s00134-018-5231-8.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Epub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2018 May 28. PubMed</w:t>
      </w:r>
    </w:p>
    <w:p w14:paraId="44445080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PMID: 29808345; PubMed Central PMCID: PMC6061457.</w:t>
      </w:r>
    </w:p>
    <w:p w14:paraId="0BD10C0E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6DC8287C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32C60E1D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>
        <w:rPr>
          <w:rFonts w:ascii="Cambria" w:eastAsia="MS Mincho" w:hAnsi="Cambria"/>
          <w:sz w:val="22"/>
          <w:szCs w:val="22"/>
          <w:lang w:val="en-US" w:eastAsia="en-US"/>
        </w:rPr>
        <w:t>10.</w:t>
      </w: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Rusinová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K,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Červenková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M,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Čepelíková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Z,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Kopecký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O. [Perioperative palliative</w:t>
      </w:r>
    </w:p>
    <w:p w14:paraId="73184C1E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care: the role of multidisciplinary consult team in perioperative period and</w:t>
      </w:r>
    </w:p>
    <w:p w14:paraId="062D1616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intensive care setting]. Cas Lek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Cesk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>. 2018 Spring;157(1):30-33. Czech. PubMed</w:t>
      </w:r>
    </w:p>
    <w:p w14:paraId="0AB4EEC9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PMID: 29564904.</w:t>
      </w:r>
    </w:p>
    <w:p w14:paraId="5A394F9D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63B01585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75368733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>
        <w:rPr>
          <w:rFonts w:ascii="Cambria" w:eastAsia="MS Mincho" w:hAnsi="Cambria"/>
          <w:sz w:val="22"/>
          <w:szCs w:val="22"/>
          <w:lang w:val="en-US" w:eastAsia="en-US"/>
        </w:rPr>
        <w:t>11.</w:t>
      </w: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Van den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Bulcke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B, Piers R, Jensen HI,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Malmgren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J,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Metaxa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V,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Reyners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AK,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Darmon</w:t>
      </w:r>
      <w:proofErr w:type="spellEnd"/>
    </w:p>
    <w:p w14:paraId="47EDA158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M,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Rusinova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K, Talmor D,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Meert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AP,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Cancelliere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L,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Zubek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L, Maia P,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Michalsen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A,</w:t>
      </w:r>
    </w:p>
    <w:p w14:paraId="02538384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Decruyenaere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J,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Kompanje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EJO,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Azoulay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E,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Meganck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R, Van de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Sompel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A,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Vansteelandt</w:t>
      </w:r>
      <w:proofErr w:type="spellEnd"/>
    </w:p>
    <w:p w14:paraId="58E90A8F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S,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Vlerick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P,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Vanheule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S, Benoit DD. Ethical decision-making climate in the ICU: </w:t>
      </w:r>
    </w:p>
    <w:p w14:paraId="7F470536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theoretical framework and validation of a self-assessment tool. BMJ Qual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Saf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>.</w:t>
      </w:r>
    </w:p>
    <w:p w14:paraId="629FE3B9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2018 Oct;27(10):781-789.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doi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: 10.1136/bmjqs-2017-007390.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Epub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2018 Feb 23. PubMed</w:t>
      </w:r>
    </w:p>
    <w:p w14:paraId="2AF01AD5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PMID: 29475979.</w:t>
      </w:r>
    </w:p>
    <w:p w14:paraId="58422310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7C47F3CD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6F60FB40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>
        <w:rPr>
          <w:rFonts w:ascii="Cambria" w:eastAsia="MS Mincho" w:hAnsi="Cambria"/>
          <w:sz w:val="22"/>
          <w:szCs w:val="22"/>
          <w:lang w:val="en-US" w:eastAsia="en-US"/>
        </w:rPr>
        <w:t>12.</w:t>
      </w: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Azoulay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E,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Pickkers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P, Soares M,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Perner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A,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Rello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J, Bauer PR, van de Louw A,</w:t>
      </w:r>
    </w:p>
    <w:p w14:paraId="7693C926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Hemelaar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P,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Lemiale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V,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Taccone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FS, Martin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Loeches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I,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Meyhoff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TS,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Salluh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J,</w:t>
      </w:r>
    </w:p>
    <w:p w14:paraId="1E989D3C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Schellongowski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P,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Rusinova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K, Terzi N, Mehta S, Antonelli M,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Kouatchet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A,</w:t>
      </w:r>
    </w:p>
    <w:p w14:paraId="5FD4C5F6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Barratt-Due A,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Valkonen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M,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Landburg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PP,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Bruneel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F,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Bukan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RB,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Pène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F,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Metaxa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V,</w:t>
      </w:r>
    </w:p>
    <w:p w14:paraId="00BB4CEE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Moreau AS,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Souppart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V,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Burghi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G,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Girault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C, Silva UVA,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Montini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L,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Barbier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F,</w:t>
      </w:r>
    </w:p>
    <w:p w14:paraId="2C8302C8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Nielsen LB,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Gaborit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B,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Mokart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D,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Chevret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S; Efraim investigators and the Nine-I</w:t>
      </w:r>
    </w:p>
    <w:p w14:paraId="390E6E9A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study group. Acute hypoxemic respiratory failure in immunocompromised patients:</w:t>
      </w:r>
    </w:p>
    <w:p w14:paraId="79B5D4E8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the Efraim multinational prospective cohort study. Intensive Care Med. 2017</w:t>
      </w:r>
    </w:p>
    <w:p w14:paraId="4FB5D166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Dec;43(12):1808-1819.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doi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: 10.1007/s00134-017-4947-1.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Epub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2017 Sep 25. PubMed</w:t>
      </w:r>
    </w:p>
    <w:p w14:paraId="0D2F1F7B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PMID: 28948369.</w:t>
      </w:r>
    </w:p>
    <w:p w14:paraId="63D77AF6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5C9521EE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60439D3F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>
        <w:rPr>
          <w:rFonts w:ascii="Cambria" w:eastAsia="MS Mincho" w:hAnsi="Cambria"/>
          <w:sz w:val="22"/>
          <w:szCs w:val="22"/>
          <w:lang w:val="en-US" w:eastAsia="en-US"/>
        </w:rPr>
        <w:t>13.</w:t>
      </w: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Azoulay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E,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Knoebl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P,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Garnacho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-Montero J,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Rusinova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K,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Galstian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G,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Eggimann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P,</w:t>
      </w:r>
    </w:p>
    <w:p w14:paraId="1CF46869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Abroug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F, Benoit D, von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Bergwelt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-Baildon M,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Wendon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J, Scully M. Expert Statements</w:t>
      </w:r>
    </w:p>
    <w:p w14:paraId="6756348C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on the Standard of Care in Critically Ill Adult Patients With Atypical Hemolytic </w:t>
      </w:r>
    </w:p>
    <w:p w14:paraId="712AC5BC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Uremic Syndrome. Chest. 2017 Aug;152(2):424-434. doi:10.1016/j.chest.2017.03.055.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Epub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2017 Apr 23. Review. PubMed PMID: 28442312.</w:t>
      </w:r>
    </w:p>
    <w:p w14:paraId="10F0A633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7B24B164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49B63261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>
        <w:rPr>
          <w:rFonts w:ascii="Cambria" w:eastAsia="MS Mincho" w:hAnsi="Cambria"/>
          <w:sz w:val="22"/>
          <w:szCs w:val="22"/>
          <w:lang w:val="en-US" w:eastAsia="en-US"/>
        </w:rPr>
        <w:t>14.</w:t>
      </w: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Sprung CL,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Rusinova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K,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Ranzani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OT. Variability in forgoing life-sustaining</w:t>
      </w:r>
    </w:p>
    <w:p w14:paraId="6DB78030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lastRenderedPageBreak/>
        <w:t>treatments: reasons and recommendations. Intensive Care Med. 2015</w:t>
      </w:r>
    </w:p>
    <w:p w14:paraId="33BDA02F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Sep;41(9):1679-81.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doi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: 10.1007/s00134-015-3868-0.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Epub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2015 May 19. PubMed PMID:</w:t>
      </w:r>
    </w:p>
    <w:p w14:paraId="0CB6F089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26077065.</w:t>
      </w:r>
    </w:p>
    <w:p w14:paraId="613679DB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01EDA858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155FED05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>
        <w:rPr>
          <w:rFonts w:ascii="Cambria" w:eastAsia="MS Mincho" w:hAnsi="Cambria"/>
          <w:sz w:val="22"/>
          <w:szCs w:val="22"/>
          <w:lang w:val="en-US" w:eastAsia="en-US"/>
        </w:rPr>
        <w:t>15.</w:t>
      </w: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Rusinova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K, Cerny V,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Kukal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J,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Pokorna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E. Expanding the DCD donor pool:</w:t>
      </w:r>
    </w:p>
    <w:p w14:paraId="1C14A360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prediction of time to death after removal of life-sustaining treatments.</w:t>
      </w:r>
    </w:p>
    <w:p w14:paraId="5ECC5A16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Intensive Care Med. 2015 Sep;41(9):1719-20.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doi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: 10.1007/s00134-015-3838-6.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Epub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</w:p>
    <w:p w14:paraId="60A8F161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2015 May 8. PubMed PMID: 25952827.</w:t>
      </w:r>
    </w:p>
    <w:p w14:paraId="4C410BF3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767450D3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674DAFE7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>
        <w:rPr>
          <w:rFonts w:ascii="Cambria" w:eastAsia="MS Mincho" w:hAnsi="Cambria"/>
          <w:sz w:val="22"/>
          <w:szCs w:val="22"/>
          <w:lang w:val="en-US" w:eastAsia="en-US"/>
        </w:rPr>
        <w:t>16.</w:t>
      </w: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Rusinova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K,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Simek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J. Should we relax the definition of death or the dead</w:t>
      </w:r>
    </w:p>
    <w:p w14:paraId="2A62177F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donor rule? Intensive Care Med. 2014 Jun;40(6):917-8.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doi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>:</w:t>
      </w:r>
    </w:p>
    <w:p w14:paraId="102C302B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10.1007/s00134-014-3291-y.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Epub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2014 Apr 30. PubMed PMID: 24781205.</w:t>
      </w:r>
    </w:p>
    <w:p w14:paraId="0A408A9C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691243DB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7CC229CE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>
        <w:rPr>
          <w:rFonts w:ascii="Cambria" w:eastAsia="MS Mincho" w:hAnsi="Cambria"/>
          <w:sz w:val="22"/>
          <w:szCs w:val="22"/>
          <w:lang w:val="en-US" w:eastAsia="en-US"/>
        </w:rPr>
        <w:t>17.</w:t>
      </w: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Rusinova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K,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Kukal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J,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Simek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J, Cerny V; DEPRESS study working group. Limited</w:t>
      </w:r>
    </w:p>
    <w:p w14:paraId="3FCAD0B4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family members/staff communication in intensive care units in the Czech and</w:t>
      </w:r>
    </w:p>
    <w:p w14:paraId="62B54F72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Slovak Republics considerably increases anxiety in patients' relatives--the</w:t>
      </w:r>
    </w:p>
    <w:p w14:paraId="60B5C23F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DEPRESS study. BMC Psychiatry. 2014 Jan 27;14:21.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doi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>: 10.1186/1471-244X-14-21.</w:t>
      </w:r>
    </w:p>
    <w:p w14:paraId="37E9D210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PubMed PMID: 24467834; PubMed Central PMCID: PMC3931312.</w:t>
      </w:r>
    </w:p>
    <w:p w14:paraId="202C8E39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6858F573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37CD2754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>
        <w:rPr>
          <w:rFonts w:ascii="Cambria" w:eastAsia="MS Mincho" w:hAnsi="Cambria"/>
          <w:sz w:val="22"/>
          <w:szCs w:val="22"/>
          <w:lang w:val="en-US" w:eastAsia="en-US"/>
        </w:rPr>
        <w:t>18.</w:t>
      </w: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Puntillo KA, Max A,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Timsit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JF,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Vignoud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L,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Chanques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G,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Robleda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G, Roche-Campo </w:t>
      </w:r>
    </w:p>
    <w:p w14:paraId="546A803B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F,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Mancebo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J,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Divatia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JV, Soares M, Ionescu DC,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Grintescu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IM,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Vasiliu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IL,</w:t>
      </w:r>
    </w:p>
    <w:p w14:paraId="14C6328D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Maggiore SM,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Rusinova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K,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Owczuk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R,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Egerod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I,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Papathanassoglou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ED,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Kyranou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M,</w:t>
      </w:r>
    </w:p>
    <w:p w14:paraId="128DF9E8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Joynt GM,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Burghi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G,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Freebairn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RC, Ho KM,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Kaarlola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A, Gerritsen RT,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Kesecioglu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J, </w:t>
      </w:r>
    </w:p>
    <w:p w14:paraId="6BB8F2F9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Sulaj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MM,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Norrenberg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M, Benoit DD,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Seha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MS,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Hennein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A,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Periera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FJ,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Benbenishty</w:t>
      </w:r>
      <w:proofErr w:type="spellEnd"/>
    </w:p>
    <w:p w14:paraId="314E356A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JS,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Abroug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F, Aquilina A, Monte JR, An Y,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Azoulay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E. Determinants of procedural</w:t>
      </w:r>
    </w:p>
    <w:p w14:paraId="20640032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pain intensity in the intensive care unit. The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Europain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® study. Am J Respir Crit </w:t>
      </w:r>
    </w:p>
    <w:p w14:paraId="37684C17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Care Med. 2014 Jan 1;189(1):39-47.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doi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: 10.1164/rccm.201306-1174OC. PubMed PMID: </w:t>
      </w:r>
    </w:p>
    <w:p w14:paraId="373BE499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24262016.</w:t>
      </w:r>
    </w:p>
    <w:p w14:paraId="0FBD9E0C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7864EB60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52A6CAD8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>
        <w:rPr>
          <w:rFonts w:ascii="Cambria" w:eastAsia="MS Mincho" w:hAnsi="Cambria"/>
          <w:sz w:val="22"/>
          <w:szCs w:val="22"/>
          <w:lang w:val="en-US" w:eastAsia="en-US"/>
        </w:rPr>
        <w:t>19.</w:t>
      </w: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Rusinova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K,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Guidet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B. "Are you sure it's about 'age'?". Intensive Care Med.</w:t>
      </w:r>
    </w:p>
    <w:p w14:paraId="63C09BCE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2014 Jan;40(1):114-6.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doi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: 10.1007/s00134-013-3147-x.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Epub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2013 Nov 12. PubMed</w:t>
      </w:r>
    </w:p>
    <w:p w14:paraId="6F2617C8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PMID: 24217659.</w:t>
      </w:r>
    </w:p>
    <w:p w14:paraId="236B4DB7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66913B45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6C9BC571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>
        <w:rPr>
          <w:rFonts w:ascii="Cambria" w:eastAsia="MS Mincho" w:hAnsi="Cambria"/>
          <w:sz w:val="22"/>
          <w:szCs w:val="22"/>
          <w:lang w:val="en-US" w:eastAsia="en-US"/>
        </w:rPr>
        <w:t>20.</w:t>
      </w: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Rusinova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K,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Simek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J. Why are they all so keen on communication? Crit Care</w:t>
      </w:r>
    </w:p>
    <w:p w14:paraId="2EF2782A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Med. 2013 Oct;41(10):2435-6.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doi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>: 10.1097/CCM.0b013e31829cb278. PubMed PMID:</w:t>
      </w:r>
    </w:p>
    <w:p w14:paraId="26F89D54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24060771.</w:t>
      </w:r>
    </w:p>
    <w:p w14:paraId="2AB87097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00C418DE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7DFA9F1D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>
        <w:rPr>
          <w:rFonts w:ascii="Cambria" w:eastAsia="MS Mincho" w:hAnsi="Cambria"/>
          <w:sz w:val="22"/>
          <w:szCs w:val="22"/>
          <w:lang w:val="en-US" w:eastAsia="en-US"/>
        </w:rPr>
        <w:t>21.</w:t>
      </w: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Rusinova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K,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Houdek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P. Physicians looking in the mirror: how we may influence </w:t>
      </w:r>
    </w:p>
    <w:p w14:paraId="12B70AA8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the end-of-life decisions of surrogates. Crit Care Med. 2013 Jul;41(7):1814-5.</w:t>
      </w:r>
    </w:p>
    <w:p w14:paraId="13209C6F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doi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>: 10.1097/CCM.0b013e3182913395. PubMed PMID: 23774347.</w:t>
      </w:r>
    </w:p>
    <w:p w14:paraId="651E1A26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4EDE1D1D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3A0FBE4C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>
        <w:rPr>
          <w:rFonts w:ascii="Cambria" w:eastAsia="MS Mincho" w:hAnsi="Cambria"/>
          <w:sz w:val="22"/>
          <w:szCs w:val="22"/>
          <w:lang w:val="en-US" w:eastAsia="en-US"/>
        </w:rPr>
        <w:t>22.</w:t>
      </w: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Vesin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A,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Azoulay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E, Ruckly S,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Vignoud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L,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Rusinovà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K, Benoit D, Soares M,</w:t>
      </w:r>
    </w:p>
    <w:p w14:paraId="09043E82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Azeivedo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-Maia P,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Abroug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F,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Benbenishty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J,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Timsit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JF. Reporting and handling</w:t>
      </w:r>
    </w:p>
    <w:p w14:paraId="02DEACFD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missing values in clinical studies in intensive care units. Intensive Care Med.</w:t>
      </w:r>
    </w:p>
    <w:p w14:paraId="339F1C62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2013 Aug;39(8):1396-404.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doi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: 10.1007/s00134-013-2949-1.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Epub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2013 May 18.</w:t>
      </w:r>
    </w:p>
    <w:p w14:paraId="7A10B776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Review. PubMed PMID: 23685609.</w:t>
      </w:r>
    </w:p>
    <w:p w14:paraId="6E5B353B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3C1612F1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35E180CB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>
        <w:rPr>
          <w:rFonts w:ascii="Cambria" w:eastAsia="MS Mincho" w:hAnsi="Cambria"/>
          <w:sz w:val="22"/>
          <w:szCs w:val="22"/>
          <w:lang w:val="en-US" w:eastAsia="en-US"/>
        </w:rPr>
        <w:t>23.</w:t>
      </w: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Balik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M, Zakharchenko M,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Leden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P,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Otahal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M, Hruby J,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Polak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F,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Rusinova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K,</w:t>
      </w:r>
    </w:p>
    <w:p w14:paraId="2716AC09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Stach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Z,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Tokarik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M,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Vavrova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J,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Jabor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A,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Oudemans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-van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Straaten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HM. Bioenergetic</w:t>
      </w:r>
    </w:p>
    <w:p w14:paraId="2BD2A944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gain of citrate anticoagulated continuous hemodiafiltration--a comparison between</w:t>
      </w:r>
    </w:p>
    <w:p w14:paraId="4BB460EE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2 citrate modalities and unfractionated heparin. J Crit Care. 2013</w:t>
      </w:r>
    </w:p>
    <w:p w14:paraId="61F77262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Feb;28(1):87-95.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doi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: 10.1016/j.jcrc.2012.06.003.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Epub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2012 Aug 27. PubMed PMID: </w:t>
      </w:r>
    </w:p>
    <w:p w14:paraId="6CEC1754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22951019.</w:t>
      </w:r>
    </w:p>
    <w:p w14:paraId="3847E9C7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39E03F4D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6AE935CD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>
        <w:rPr>
          <w:rFonts w:ascii="Cambria" w:eastAsia="MS Mincho" w:hAnsi="Cambria"/>
          <w:sz w:val="22"/>
          <w:szCs w:val="22"/>
          <w:lang w:val="en-US" w:eastAsia="en-US"/>
        </w:rPr>
        <w:t>24.</w:t>
      </w: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Balik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M, Zakharchenko M,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Otahal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M, Hruby J,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Polak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F,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Rusinova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K,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Stach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Z,</w:t>
      </w:r>
    </w:p>
    <w:p w14:paraId="0FC1E898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Vavrova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J,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Jabor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A. Quantification of systemic delivery of substrates for</w:t>
      </w:r>
    </w:p>
    <w:p w14:paraId="1D04D115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intermediate metabolism during citrate anticoagulation of continuous renal</w:t>
      </w:r>
    </w:p>
    <w:p w14:paraId="5CD5DF81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replacement therapy. Blood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Purif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. 2012;33(1-3):80-7.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doi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: 10.1159/000334641.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Epub</w:t>
      </w:r>
      <w:proofErr w:type="spellEnd"/>
    </w:p>
    <w:p w14:paraId="13EC3FA4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2011 Dec 30. PubMed PMID: 22212643.</w:t>
      </w:r>
    </w:p>
    <w:p w14:paraId="69524001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136E66DE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0D6D19D5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>
        <w:rPr>
          <w:rFonts w:ascii="Cambria" w:eastAsia="MS Mincho" w:hAnsi="Cambria"/>
          <w:sz w:val="22"/>
          <w:szCs w:val="22"/>
          <w:lang w:val="en-US" w:eastAsia="en-US"/>
        </w:rPr>
        <w:t>25.</w:t>
      </w: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Peigne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V,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Chaize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M,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Falissard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B, Kentish-Barnes N,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Rusinova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K,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Megarbane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B,</w:t>
      </w:r>
    </w:p>
    <w:p w14:paraId="2D84C949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Bele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N,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Cariou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A,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Fieux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F,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Garrouste-Orgeas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M, Georges H, Jourdain M,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Kouatchet</w:t>
      </w:r>
      <w:proofErr w:type="spellEnd"/>
    </w:p>
    <w:p w14:paraId="5A2AC53E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A,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Lautrette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A,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Legriel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S,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Regnier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B, Renault A,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Thirion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M,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Timsit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JF, Toledano</w:t>
      </w:r>
    </w:p>
    <w:p w14:paraId="35DDBF8E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D,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Chevret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S, Pochard F, Schlemmer B,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Azoulay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E. Important questions asked by</w:t>
      </w:r>
    </w:p>
    <w:p w14:paraId="170A70DF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family members of intensive care unit patients. Crit Care Med. 2011</w:t>
      </w:r>
    </w:p>
    <w:p w14:paraId="0698DD07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Jun;39(6):1365-71.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doi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>: 10.1097/CCM.0b013e3182120b68. PubMed PMID: 21358395.</w:t>
      </w:r>
    </w:p>
    <w:p w14:paraId="316409FE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65E034CE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6556B360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>
        <w:rPr>
          <w:rFonts w:ascii="Cambria" w:eastAsia="MS Mincho" w:hAnsi="Cambria"/>
          <w:sz w:val="22"/>
          <w:szCs w:val="22"/>
          <w:lang w:val="en-US" w:eastAsia="en-US"/>
        </w:rPr>
        <w:t>26.</w:t>
      </w: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Cvachovec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K,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Cerný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V, Dostál O,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Heger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L,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Maláska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J,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Matejovi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M, Nalos D,</w:t>
      </w:r>
    </w:p>
    <w:p w14:paraId="4A2C6355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Novák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I,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Parízková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R, Payne J,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Roznovská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L,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Rusínová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K,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Sevcík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P,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Simek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J,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Tavel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</w:p>
    <w:p w14:paraId="23EB9E94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P,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Vácha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M,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Koblízek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V,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Pátková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P. [Consensus on providing palliative treatment</w:t>
      </w:r>
    </w:p>
    <w:p w14:paraId="212F606B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to patients with incurable organ failure].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Vnitr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Lek. 2009 Sep;55(9):846-9.</w:t>
      </w:r>
    </w:p>
    <w:p w14:paraId="3192BBBE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Czech. PubMed PMID: 19785387.</w:t>
      </w:r>
    </w:p>
    <w:p w14:paraId="65393DD0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600553F0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4772164C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>
        <w:rPr>
          <w:rFonts w:ascii="Cambria" w:eastAsia="MS Mincho" w:hAnsi="Cambria"/>
          <w:sz w:val="22"/>
          <w:szCs w:val="22"/>
          <w:lang w:val="en-US" w:eastAsia="en-US"/>
        </w:rPr>
        <w:t>27.</w:t>
      </w: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Azoulay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E,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Timsit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JF, Sprung CL, Soares M,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Rusinová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K,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Lafabrie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A,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Abizanda</w:t>
      </w:r>
      <w:proofErr w:type="spellEnd"/>
    </w:p>
    <w:p w14:paraId="7ECE41F7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R,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Svantesson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M,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Rubulotta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F,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Ricou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B, Benoit D,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Heyland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D, Joynt G,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Français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A, </w:t>
      </w:r>
    </w:p>
    <w:p w14:paraId="49C59133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Azeivedo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-Maia P,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Owczuk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R,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Benbenishty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J, de Vita M, Valentin A,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Ksomos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A, Cohen </w:t>
      </w:r>
    </w:p>
    <w:p w14:paraId="3B601DBB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S,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Kompan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L, Ho K,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Abroug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F,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Kaarlola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A, Gerlach H,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Kyprianou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T,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Michalsen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A,</w:t>
      </w:r>
    </w:p>
    <w:p w14:paraId="71615E5B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Chevret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S, Schlemmer B;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Conflicus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Study Investigators and for the Ethics Section </w:t>
      </w:r>
    </w:p>
    <w:p w14:paraId="3F6DB794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of the European Society of Intensive Care Medicine. Prevalence and factors of</w:t>
      </w:r>
    </w:p>
    <w:p w14:paraId="6F287F9B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intensive care unit conflicts: the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conflicus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study. Am J Respir Crit Care Med.</w:t>
      </w:r>
    </w:p>
    <w:p w14:paraId="7FB44B26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2009 Nov 1;180(9):853-60.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doi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: 10.1164/rccm.200810-1614OC.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Epub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2009 Jul 30.</w:t>
      </w:r>
    </w:p>
    <w:p w14:paraId="42B3FC19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PubMed PMID: 19644049.</w:t>
      </w:r>
    </w:p>
    <w:p w14:paraId="0DDB1856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29415922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4B05488A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>
        <w:rPr>
          <w:rFonts w:ascii="Cambria" w:eastAsia="MS Mincho" w:hAnsi="Cambria"/>
          <w:sz w:val="22"/>
          <w:szCs w:val="22"/>
          <w:lang w:val="en-US" w:eastAsia="en-US"/>
        </w:rPr>
        <w:t>28.</w:t>
      </w: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Rusinová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K, Pochard F, Kentish-Barnes N,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Chaize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M,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Azoulay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E. Qualitative</w:t>
      </w:r>
    </w:p>
    <w:p w14:paraId="24BCB226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research: adding drive and dimension to clinical research. Crit Care Med. 2009</w:t>
      </w:r>
    </w:p>
    <w:p w14:paraId="760B1160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Jan;37(1 Suppl):S140-6.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doi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>: 10.1097/CCM.0b013e31819207e7. PubMed PMID: 19104214.</w:t>
      </w:r>
    </w:p>
    <w:p w14:paraId="21A68B36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0D37497F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1D0B4D6D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>
        <w:rPr>
          <w:rFonts w:ascii="Cambria" w:eastAsia="MS Mincho" w:hAnsi="Cambria"/>
          <w:sz w:val="22"/>
          <w:szCs w:val="22"/>
          <w:lang w:val="en-US" w:eastAsia="en-US"/>
        </w:rPr>
        <w:t>29.</w:t>
      </w: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Peigne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V,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Rusinová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K,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Karlin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L,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Darmon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M,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Fermand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JP, Schlemmer B,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Azoulay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E.</w:t>
      </w:r>
    </w:p>
    <w:p w14:paraId="55A62297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Continued survival gains in recent years among critically ill myeloma patients.</w:t>
      </w:r>
    </w:p>
    <w:p w14:paraId="6189EC72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Intensive Care Med. 2009 Mar;35(3):512-8.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doi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: 10.1007/s00134-008-1320-4.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Epub</w:t>
      </w:r>
      <w:proofErr w:type="spellEnd"/>
    </w:p>
    <w:p w14:paraId="0340B958" w14:textId="77777777" w:rsidR="007D3B38" w:rsidRPr="00C91659" w:rsidRDefault="007D3B38" w:rsidP="007D3B38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2008 Oct 14. PubMed PMID: 18853139.</w:t>
      </w:r>
    </w:p>
    <w:p w14:paraId="33DBD6F7" w14:textId="77777777" w:rsidR="008C0AB1" w:rsidRDefault="008C0AB1"/>
    <w:sectPr w:rsidR="008C0AB1" w:rsidSect="00B4378F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38"/>
    <w:rsid w:val="007D3B38"/>
    <w:rsid w:val="008C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0E13"/>
  <w15:chartTrackingRefBased/>
  <w15:docId w15:val="{5EA9B9B4-44C4-4F80-B31D-851AD0C9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3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3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1716</Words>
  <Characters>10131</Characters>
  <Application>Microsoft Office Word</Application>
  <DocSecurity>0</DocSecurity>
  <Lines>84</Lines>
  <Paragraphs>23</Paragraphs>
  <ScaleCrop>false</ScaleCrop>
  <Company/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Babicova</dc:creator>
  <cp:keywords/>
  <dc:description/>
  <cp:lastModifiedBy>Marta Babicova</cp:lastModifiedBy>
  <cp:revision>1</cp:revision>
  <dcterms:created xsi:type="dcterms:W3CDTF">2022-01-15T15:33:00Z</dcterms:created>
  <dcterms:modified xsi:type="dcterms:W3CDTF">2022-01-15T15:34:00Z</dcterms:modified>
</cp:coreProperties>
</file>