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7C" w:rsidRPr="001D697C" w:rsidRDefault="001D697C" w:rsidP="001D69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r w:rsidRPr="001D69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ICN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ICN je federace více jak 130 národních asociací sester, jejíž cílem je celosvětově podporovat rozvoj ošetřovatelství, sester a zdraví. Mezinárodní rada sester byla založena v roce 1899 na popud anglických sester a první prezidentkou se stala Ethel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Gordon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Bedford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Fenwick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. Sídlo výkonného výboru ICN je Ženeva.</w:t>
      </w:r>
    </w:p>
    <w:p w:rsidR="001D697C" w:rsidRPr="001D697C" w:rsidRDefault="007F2177" w:rsidP="001D69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1D697C" w:rsidRPr="001D697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Informační brožura ICN: Překlenutí rozdílů, od důkazů k činům</w:t>
        </w:r>
      </w:hyperlink>
      <w:r w:rsidR="001D697C" w:rsidRPr="001D69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1D697C" w:rsidRPr="001D69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(vydaná k Mezinárodnímu dni sester 2012 – překlad)</w:t>
      </w:r>
      <w:r w:rsidR="001D697C"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Programové oblasti ICN je možno rozčlenit do tří základních pracovních oblastí:</w:t>
      </w:r>
    </w:p>
    <w:p w:rsidR="001D697C" w:rsidRPr="001D697C" w:rsidRDefault="001D697C" w:rsidP="001D6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Profesionální praxe</w:t>
      </w:r>
    </w:p>
    <w:p w:rsidR="001D697C" w:rsidRPr="001D697C" w:rsidRDefault="001D697C" w:rsidP="001D6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Regulace ošetřovatelské profese</w:t>
      </w:r>
    </w:p>
    <w:p w:rsidR="001D697C" w:rsidRPr="001D697C" w:rsidRDefault="001D697C" w:rsidP="001D6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Socioekonomické zabezpečení</w:t>
      </w:r>
    </w:p>
    <w:p w:rsidR="001D697C" w:rsidRPr="001D697C" w:rsidRDefault="001D697C" w:rsidP="001D69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1. Profesionální praxe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Mezi současné priority v oblasti profesionální praxe patří řízení změn, vytváření Mezinárodní klasifikace pro ošetřovatelskou praxi, navazování partnerství, spolupráce, výzkum a praxe založená na důkazech.</w:t>
      </w:r>
    </w:p>
    <w:p w:rsidR="001D697C" w:rsidRPr="001D697C" w:rsidRDefault="001D697C" w:rsidP="001D69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Řízení změn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Řízení je dlouhodobým předmětem zájmu ICN. V současné době probíhají dvě důležité iniciativy: jedna je zaměřena na zdokonalování schopností sester být v období změn ve vedoucím postavení a ta druhá se zaměřuje na řízení prostřednictvím dovedností pro vyjednávání. Projekt řízení (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leadership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) pomáhá sestrám pochopit zdravotnickou reformu a její důsledky, vytvořit strategie pro zavádění změn do plánování a politiky ve zdravotnictví a získat dovednosti pro přípravu nových řídících pracovníků z řad sester. Program je nyní rozšiřován i do oblasti Středního východu.</w:t>
      </w:r>
    </w:p>
    <w:p w:rsidR="001D697C" w:rsidRPr="001D697C" w:rsidRDefault="001D697C" w:rsidP="001D69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Mezinárodní klasifikace pro ošetřovatelskou praxi (ICNP)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Povzbudivou historickou iniciativou ICN je příprava Mezinárodní klasifikace pro ošetřovatelskou praxi (ICNP), která poskytuje slovník a rámec, s jehož pomocí je možno organizovat a srovnávat ošetřovatelské údaje. ICNP významným způsobem přispěje k popisu ošetřovatelské praxe a sledování globálních trendů v ošetřovatelské péči. Tento společný jazyk umožní sestrám srovnávat ošetřovatelské údaje od různých skupin pacientů, z různých zařízení, zeměpisných oblastí a z různé doby a dokumentovat výsledky ošetřovatelských intervencí. Beta verze této klasifikace prochází testováním v terénu a byla již přeložena do několika jazyků.</w:t>
      </w:r>
    </w:p>
    <w:p w:rsidR="001D697C" w:rsidRPr="001D697C" w:rsidRDefault="001D697C" w:rsidP="001D69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Vztahy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ICN podporuje význam pevných vztahů s národními, regionálními a mezinárodními sesterskými i jinými organizacemi. Budování pozitivních vztahů v mezinárodním měřítku pomáhá připravit ICN, sestry a ošetřovatelství na současné i budoucí úkoly. Spolupráce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 různými systémy v rámci Organizace spojených národů, zejména se Světovou zdravotnickou organizací a Mezinárodní organizace práce je důležitá pro sestry na celém světě. ICN navíc těsně spolupracuje s Mezinárodním červeným křížem, organizacemi UNICEF, UNADS,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Amnesty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International a mnoha dalšími mezinárodními nevládními organizacemi, včetně </w:t>
      </w:r>
      <w:proofErr w:type="gram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dalších s nimiž</w:t>
      </w:r>
      <w:proofErr w:type="gram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vstoupila ICN do partnerství ve Světové alianci profesí (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Professions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Alliance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WHPA).</w:t>
      </w:r>
    </w:p>
    <w:p w:rsidR="001D697C" w:rsidRPr="001D697C" w:rsidRDefault="001D697C" w:rsidP="001D69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2. Regulace ošetřovatelské profese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Druhou nejdůležitější programovou oblastí ICN je regulace ošetřovatelské profese. Změny v systémech zdravotnictví, k nimž dochází na celém světě, s sebou přinášejí také změny v regulaci. Jak se mění role jednotlivých profesí, dochází ke stírání hranic a ke změnám v zákonném rozsahu praxe. Cílem regulace je zajištění bezpečnosti pacientů a ne profesní protekcionismus, jak se někdy myslí.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ICN se zabývá základními aspekty regulace ošetřovatelství:</w:t>
      </w:r>
    </w:p>
    <w:p w:rsidR="001D697C" w:rsidRPr="001D697C" w:rsidRDefault="001D697C" w:rsidP="001D6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normy pro vzdělávání, praxi, poskytování služeb a etické chování, které by měly sestry dodržovat</w:t>
      </w:r>
    </w:p>
    <w:p w:rsidR="001D697C" w:rsidRPr="001D697C" w:rsidRDefault="001D697C" w:rsidP="001D6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postupy, jakými jsou sestry volány k zodpovědnosti před společnosti, navzájem a před kolegy a dalšími partnery ve zdravotní péči</w:t>
      </w:r>
    </w:p>
    <w:p w:rsidR="001D697C" w:rsidRPr="001D697C" w:rsidRDefault="001D697C" w:rsidP="001D6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povaha a rozsah všeobecné a specializované praxe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ICN vytváří mezinárodní normy pro regulaci v ošetřovatelství a pomáhá sestrám pochopit povahu, důsledky a dopad regulačního postupu používaného v jejich zemích. ICN slouží jako pramen a průvodce pro sestry a pomáhá jim:</w:t>
      </w:r>
    </w:p>
    <w:p w:rsidR="001D697C" w:rsidRPr="001D697C" w:rsidRDefault="001D697C" w:rsidP="001D69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přípravě regulačních mechanizmů, které ovlivňují odborné vzdělání, praxi a výzkum</w:t>
      </w:r>
    </w:p>
    <w:p w:rsidR="001D697C" w:rsidRPr="001D697C" w:rsidRDefault="001D697C" w:rsidP="001D69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zajišťování, aby v administrativních a monitorovacích procesech používaných pro řízení ošetřovatelství hrály hlavní roli sestry</w:t>
      </w:r>
    </w:p>
    <w:p w:rsidR="001D697C" w:rsidRPr="001D697C" w:rsidRDefault="001D697C" w:rsidP="001D69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regulaci nutné reformy regulace</w:t>
      </w:r>
    </w:p>
    <w:p w:rsidR="001D697C" w:rsidRPr="001D697C" w:rsidRDefault="001D697C" w:rsidP="001D69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podpoře koncepce seberegulace jako důležité součásti zodpovědnosti profese</w:t>
      </w:r>
    </w:p>
    <w:p w:rsidR="001D697C" w:rsidRPr="001D697C" w:rsidRDefault="001D697C" w:rsidP="001D69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3. Společenskoeko</w:t>
      </w:r>
      <w:r w:rsidRPr="001D697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softHyphen/>
        <w:t>nomické zabezpečení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Třetí základní programovou oblastí ICN je společenskoeko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nomické zabezpečení sester. Prostřednictvím iniciativ na společenskoeko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nomické zabezpečení pomáhá ICN sesterským organizacím zajistit, aby sestry pracovaly v bezpečném prostředí a dostávaly za svou práci spravedlivou odměnu. Iniciativa ICN v oblasti společenskoeko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nomického zabezpečení, zejména projekt Vyjednávání v řízení (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Negotiation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Leadership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), funguje už 18 let. Prostřednictvím tohoto projektu poskytuje ICN výcvik pomáhající sestrám získat dovednosti pro vyjednávání a snaží se tak přispět k tomu, aby sestry získaly výhody srovnatelné s ostatními odbornými pracovníky se srovnatelným vzděláním, hodnotou a povinnostmi. Směrnice ICN v oblasti společenskoeko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nomického zabezpečení jsou široce využívány jak sestrami, tak dalšími pracovníky.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Související odkazy:</w:t>
      </w:r>
    </w:p>
    <w:p w:rsidR="001D697C" w:rsidRPr="001D697C" w:rsidRDefault="007F2177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1D697C"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Etický kodex ICN</w:t>
        </w:r>
      </w:hyperlink>
      <w:r w:rsidR="001D697C"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7" w:history="1">
        <w:r w:rsidR="001D697C"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Nabídka a poptávka sester (ICN)</w:t>
        </w:r>
      </w:hyperlink>
    </w:p>
    <w:p w:rsidR="001D697C" w:rsidRPr="001D697C" w:rsidRDefault="001D697C" w:rsidP="001D69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Kontakt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WWW: </w:t>
      </w:r>
      <w:hyperlink r:id="rId8" w:history="1"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http://www.icn.ch</w:t>
        </w:r>
      </w:hyperlink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Přístupová práva na </w:t>
      </w:r>
      <w:hyperlink r:id="rId9" w:history="1"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http://www.icn.ch</w:t>
        </w:r>
      </w:hyperlink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členské organizace: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username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cz@icn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password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Sip45Doc </w:t>
      </w:r>
    </w:p>
    <w:p w:rsidR="001D697C" w:rsidRPr="001D697C" w:rsidRDefault="007F2177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="001D697C"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International </w:t>
        </w:r>
        <w:proofErr w:type="spellStart"/>
        <w:r w:rsidR="001D697C"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Nursing</w:t>
        </w:r>
        <w:proofErr w:type="spellEnd"/>
        <w:r w:rsidR="001D697C"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1D697C"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Review</w:t>
        </w:r>
        <w:proofErr w:type="spellEnd"/>
      </w:hyperlink>
      <w:r w:rsidR="001D697C"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oficiální časopis ICN (</w:t>
      </w:r>
      <w:proofErr w:type="spellStart"/>
      <w:r w:rsidR="001D697C"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Impact</w:t>
      </w:r>
      <w:proofErr w:type="spellEnd"/>
      <w:r w:rsidR="001D697C"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D697C"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Factor</w:t>
      </w:r>
      <w:proofErr w:type="spellEnd"/>
      <w:r w:rsidR="001D697C"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0,588)</w:t>
      </w:r>
    </w:p>
    <w:p w:rsidR="001D697C" w:rsidRPr="001D697C" w:rsidRDefault="001D697C" w:rsidP="001D6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﻿</w:t>
      </w:r>
    </w:p>
    <w:p w:rsidR="001D697C" w:rsidRPr="001D697C" w:rsidRDefault="001D697C" w:rsidP="001D69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EFN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Evropská federace sesterských asociací, dříve PCN (Stálý výbor sester EU), byla založena v roce 1971 a reprezentuje sesterskou profesi a její zájmy v institucích EU. EFN je tvořena národními asociacemi sester </w:t>
      </w:r>
      <w:proofErr w:type="gram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ze</w:t>
      </w:r>
      <w:proofErr w:type="gram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27 členských států EU, Chorvatska, Islandu, Norska, Švýcarska, Makedonie. Její současnou ředitelkou je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Grete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Christensen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Dánska. Momentálně má EFN tři výbory (Professional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Committee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Workforce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Committee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Public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Policy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Committee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které umožňují detailnější rozbor témat diskutovaných na generálním zasedání. Výbory vytváří doporučení ke klíčovým tématům, která pak umožňují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lobovací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proces v institucích EU. Oficiálními jazyky EFN jsou angličtina a francouzština.</w:t>
      </w:r>
    </w:p>
    <w:p w:rsidR="001D697C" w:rsidRPr="001D697C" w:rsidRDefault="001D697C" w:rsidP="001D69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Akce</w:t>
      </w:r>
    </w:p>
    <w:p w:rsidR="001D697C" w:rsidRPr="001D697C" w:rsidRDefault="001D697C" w:rsidP="001D69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Dublin, 22. – </w:t>
      </w:r>
      <w:proofErr w:type="gram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24.10.2014</w:t>
      </w:r>
      <w:proofErr w:type="gram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101. generální zasedání EFN, </w:t>
      </w:r>
      <w:hyperlink r:id="rId11" w:history="1"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Zpráva ze zahraniční pracovní cesty</w:t>
        </w:r>
      </w:hyperlink>
    </w:p>
    <w:p w:rsidR="001D697C" w:rsidRPr="001D697C" w:rsidRDefault="001D697C" w:rsidP="001D69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Brussels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10.4.2014</w:t>
      </w:r>
      <w:proofErr w:type="gram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100. generální zasedání EFN, </w:t>
      </w:r>
      <w:hyperlink r:id="rId12" w:history="1"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Zpráva ze zahraniční pracovní cesty</w:t>
        </w:r>
      </w:hyperlink>
    </w:p>
    <w:p w:rsidR="001D697C" w:rsidRPr="001D697C" w:rsidRDefault="001D697C" w:rsidP="001D69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Luxemburg, 4. – </w:t>
      </w:r>
      <w:proofErr w:type="gram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5.10.2012</w:t>
      </w:r>
      <w:proofErr w:type="gram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97. generální zasedání EFN, </w:t>
      </w:r>
      <w:hyperlink r:id="rId13" w:history="1"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Zpráva ze zahraniční pracovní cesty</w:t>
        </w:r>
      </w:hyperlink>
    </w:p>
    <w:p w:rsidR="001D697C" w:rsidRPr="001D697C" w:rsidRDefault="001D697C" w:rsidP="001D69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Varšava, Polsko, 5. – </w:t>
      </w:r>
      <w:proofErr w:type="gram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7.10.2011</w:t>
      </w:r>
      <w:proofErr w:type="gram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95. generální zasedání EFN, </w:t>
      </w:r>
      <w:hyperlink r:id="rId14" w:history="1"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Zpráva ze zahraniční pracovní cesty</w:t>
        </w:r>
      </w:hyperlink>
    </w:p>
    <w:p w:rsidR="001D697C" w:rsidRPr="001D697C" w:rsidRDefault="001D697C" w:rsidP="001D69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Reykjavik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Island, </w:t>
      </w:r>
      <w:proofErr w:type="gram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31.3</w:t>
      </w:r>
      <w:proofErr w:type="gram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– 1.4.2011, 94. generální zasedání EFN, </w:t>
      </w:r>
      <w:hyperlink r:id="rId15" w:history="1"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Zpráva ze zahraniční pracovní cesty</w:t>
        </w:r>
      </w:hyperlink>
    </w:p>
    <w:p w:rsidR="001D697C" w:rsidRPr="001D697C" w:rsidRDefault="001D697C" w:rsidP="001D69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Brusel, Belgie, 28. – </w:t>
      </w:r>
      <w:proofErr w:type="gram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29.10.2010</w:t>
      </w:r>
      <w:proofErr w:type="gram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93. generální zasedání EFN, </w:t>
      </w:r>
      <w:hyperlink r:id="rId16" w:history="1"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Zpráva ze zahraniční pracovní cesty</w:t>
        </w:r>
      </w:hyperlink>
    </w:p>
    <w:p w:rsidR="001D697C" w:rsidRPr="001D697C" w:rsidRDefault="001D697C" w:rsidP="001D69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Leuven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Belgie, 28. – </w:t>
      </w:r>
      <w:proofErr w:type="gram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29.5.2010</w:t>
      </w:r>
      <w:proofErr w:type="gram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Policy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Dialog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European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Observatory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Policies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Investice do budoucí evropské pracovní síly ve zdravotnictví: možnosti inovace a spolupráce, </w:t>
      </w:r>
      <w:hyperlink r:id="rId17" w:history="1"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Zpráva ze zahraniční pracovní cesty</w:t>
        </w:r>
      </w:hyperlink>
    </w:p>
    <w:p w:rsidR="001D697C" w:rsidRPr="001D697C" w:rsidRDefault="001D697C" w:rsidP="001D69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Bukurešť, Rumunsko, 15. – </w:t>
      </w:r>
      <w:proofErr w:type="gram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16.4.2010</w:t>
      </w:r>
      <w:proofErr w:type="gram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European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Federation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Nurses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Associations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(EFN), 92. generální zasedání EFN, </w:t>
      </w:r>
      <w:hyperlink r:id="rId18" w:history="1"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Zpráva ze zahraniční pracovní cesty</w:t>
        </w:r>
      </w:hyperlink>
    </w:p>
    <w:p w:rsidR="001D697C" w:rsidRPr="001D697C" w:rsidRDefault="001D697C" w:rsidP="001D69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Stockholm, Švédsko, 21. – </w:t>
      </w:r>
      <w:proofErr w:type="gram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23.10.2009</w:t>
      </w:r>
      <w:proofErr w:type="gram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Policy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Dialog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European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Observatory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Policies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Změna rolí a dovedností sester a pracovníků v sociální péči pro lepší koordinaci péče v Evropě, </w:t>
      </w:r>
      <w:hyperlink r:id="rId19" w:history="1"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Zpráva ze zahraniční pracovní cesty</w:t>
        </w:r>
      </w:hyperlink>
    </w:p>
    <w:p w:rsidR="001D697C" w:rsidRPr="001D697C" w:rsidRDefault="001D697C" w:rsidP="001D69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Stockholm, Švédsko, 1. – </w:t>
      </w:r>
      <w:proofErr w:type="gram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3.10.2009</w:t>
      </w:r>
      <w:proofErr w:type="gram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European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Federation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Nurses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Associations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(EFN), 91. generální zasedání EFN, </w:t>
      </w:r>
      <w:hyperlink r:id="rId20" w:history="1"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Zpráva ze zahraniční pracovní cesty</w:t>
        </w:r>
      </w:hyperlink>
    </w:p>
    <w:p w:rsidR="001D697C" w:rsidRPr="001D697C" w:rsidRDefault="001D697C" w:rsidP="001D69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Brusel, Belgie, </w:t>
      </w:r>
      <w:proofErr w:type="gram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14.- 15.4.2009</w:t>
      </w:r>
      <w:proofErr w:type="gram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European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Federation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Nurses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Associations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(EFN), 90. generální zasedání EFN</w:t>
      </w:r>
    </w:p>
    <w:p w:rsidR="001D697C" w:rsidRPr="001D697C" w:rsidRDefault="001D697C" w:rsidP="001D69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Informace</w:t>
      </w:r>
    </w:p>
    <w:p w:rsidR="001D697C" w:rsidRPr="001D697C" w:rsidRDefault="007F2177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history="1">
        <w:r w:rsidR="001D697C"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EFN </w:t>
        </w:r>
        <w:proofErr w:type="spellStart"/>
        <w:r w:rsidR="001D697C"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Competency</w:t>
        </w:r>
        <w:proofErr w:type="spellEnd"/>
        <w:r w:rsidR="001D697C"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Framework</w:t>
        </w:r>
      </w:hyperlink>
      <w:r w:rsidR="001D697C"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(duben 2015)</w:t>
      </w:r>
    </w:p>
    <w:p w:rsidR="001D697C" w:rsidRPr="001D697C" w:rsidRDefault="007F2177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" w:history="1">
        <w:r w:rsidR="001D697C"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Ošetřovatelské profese v EU</w:t>
        </w:r>
      </w:hyperlink>
      <w:r w:rsidR="001D697C"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(září 2013)</w:t>
      </w:r>
    </w:p>
    <w:p w:rsidR="001D697C" w:rsidRPr="001D697C" w:rsidRDefault="007F2177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" w:history="1">
        <w:r w:rsidR="001D697C"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Ošetřovatelské profese v ČR</w:t>
        </w:r>
      </w:hyperlink>
      <w:r w:rsidR="001D697C"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(září 2013)</w:t>
      </w:r>
    </w:p>
    <w:p w:rsidR="001D697C" w:rsidRPr="001D697C" w:rsidRDefault="007F2177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" w:history="1">
        <w:r w:rsidR="001D697C"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Kdo budou noví eurokomisaři v </w:t>
        </w:r>
        <w:proofErr w:type="spellStart"/>
        <w:r w:rsidR="001D697C"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Barrosově</w:t>
        </w:r>
        <w:proofErr w:type="spellEnd"/>
        <w:r w:rsidR="001D697C"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týmu II</w:t>
        </w:r>
      </w:hyperlink>
      <w:r w:rsidR="001D697C"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(prosinec 2009)</w:t>
      </w:r>
    </w:p>
    <w:p w:rsidR="001D697C" w:rsidRPr="001D697C" w:rsidRDefault="001D697C" w:rsidP="001D69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Kontakt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www: </w:t>
      </w:r>
      <w:hyperlink r:id="rId25" w:history="1"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http://www.ef</w:t>
        </w:r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softHyphen/>
          <w:t>nweb.org</w:t>
        </w:r>
      </w:hyperlink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Oficiální zástupce: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Mgr. Veronika Di Cara, RN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hyperlink r:id="rId26" w:tooltip="veronika.dicara@gmail.com" w:history="1"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veronika.dica</w:t>
        </w:r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softHyphen/>
          <w:t>ra@gmail.com</w:t>
        </w:r>
      </w:hyperlink>
    </w:p>
    <w:p w:rsidR="001D697C" w:rsidRPr="001D697C" w:rsidRDefault="001D697C" w:rsidP="001D69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EONS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EONS byla založena v roce 1984 a sdružuje více jak 50 sesterských onkologických organizací, které reprezentují sestry z 25 zemí.</w:t>
      </w:r>
    </w:p>
    <w:p w:rsidR="001D697C" w:rsidRPr="001D697C" w:rsidRDefault="007F2177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7" w:history="1">
        <w:r w:rsidR="001D697C"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Zprávy z EONS (listopad 2014)</w:t>
        </w:r>
      </w:hyperlink>
    </w:p>
    <w:p w:rsidR="001D697C" w:rsidRPr="001D697C" w:rsidRDefault="007F2177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8" w:history="1">
        <w:r w:rsidR="001D697C"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Zprávy z EONS (duben 2014)</w:t>
        </w:r>
      </w:hyperlink>
    </w:p>
    <w:p w:rsidR="001D697C" w:rsidRPr="001D697C" w:rsidRDefault="007F2177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9" w:history="1">
        <w:r w:rsidR="001D697C"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Zprávy z EONS (2013)</w:t>
        </w:r>
      </w:hyperlink>
    </w:p>
    <w:p w:rsidR="001D697C" w:rsidRPr="001D697C" w:rsidRDefault="007F2177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0" w:history="1">
        <w:r w:rsidR="001D697C"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Zprávy z EONS (2012)</w:t>
        </w:r>
      </w:hyperlink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Rozšířenou roli sestry spatřují:</w:t>
      </w:r>
    </w:p>
    <w:p w:rsidR="001D697C" w:rsidRPr="001D697C" w:rsidRDefault="001D697C" w:rsidP="001D69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v realizaci ošetřovatelského procesu</w:t>
      </w:r>
    </w:p>
    <w:p w:rsidR="001D697C" w:rsidRPr="001D697C" w:rsidRDefault="001D697C" w:rsidP="001D69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vyhodnocování stavu pacientů</w:t>
      </w:r>
    </w:p>
    <w:p w:rsidR="001D697C" w:rsidRPr="001D697C" w:rsidRDefault="001D697C" w:rsidP="001D69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ve včasném poznání komplikací a kvalifikovaného zásahu</w:t>
      </w:r>
    </w:p>
    <w:p w:rsidR="001D697C" w:rsidRPr="001D697C" w:rsidRDefault="001D697C" w:rsidP="001D69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budoucnost onkologického ošetřovatelství spatřuje EONS v naplnění těchto cílů: </w:t>
      </w:r>
    </w:p>
    <w:p w:rsidR="001D697C" w:rsidRPr="001D697C" w:rsidRDefault="001D697C" w:rsidP="001D697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dostupnost kvalitní péče o onkologické pacienty</w:t>
      </w:r>
    </w:p>
    <w:p w:rsidR="001D697C" w:rsidRPr="001D697C" w:rsidRDefault="001D697C" w:rsidP="001D697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umožnit specializaci onkologických sester</w:t>
      </w:r>
    </w:p>
    <w:p w:rsidR="001D697C" w:rsidRPr="001D697C" w:rsidRDefault="001D697C" w:rsidP="001D697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zajistit znalost cílů u všech onkologických sester </w:t>
      </w:r>
    </w:p>
    <w:p w:rsidR="001D697C" w:rsidRPr="001D697C" w:rsidRDefault="001D697C" w:rsidP="001D697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přispívat k získávání znalostí</w:t>
      </w:r>
    </w:p>
    <w:p w:rsidR="001D697C" w:rsidRPr="001D697C" w:rsidRDefault="001D697C" w:rsidP="001D69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EONS věnuje vzdělávání sester pozornost od 80 let. První specializační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curiculum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vydala v roce 1989 a další v roce 1993.</w:t>
      </w:r>
    </w:p>
    <w:p w:rsidR="001D697C" w:rsidRPr="001D697C" w:rsidRDefault="007F2177" w:rsidP="001D69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1" w:history="1">
        <w:r w:rsidR="001D697C"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EONS </w:t>
        </w:r>
        <w:proofErr w:type="spellStart"/>
        <w:r w:rsidR="001D697C"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newsletter</w:t>
        </w:r>
        <w:proofErr w:type="spellEnd"/>
      </w:hyperlink>
      <w:r w:rsidR="001D697C"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1D697C"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october</w:t>
      </w:r>
      <w:proofErr w:type="spellEnd"/>
      <w:r w:rsidR="001D697C"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2013); informace o České asociaci sester (</w:t>
      </w:r>
      <w:proofErr w:type="spellStart"/>
      <w:r w:rsidR="001D697C"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newsletter</w:t>
      </w:r>
      <w:proofErr w:type="spellEnd"/>
      <w:r w:rsidR="001D697C"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možné přeložit pomocí překladače, link naleznete v záhlaví </w:t>
      </w:r>
      <w:proofErr w:type="spellStart"/>
      <w:r w:rsidR="001D697C"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newsletteru</w:t>
      </w:r>
      <w:proofErr w:type="spellEnd"/>
      <w:r w:rsidR="001D697C"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D697C" w:rsidRPr="001D697C" w:rsidRDefault="001D697C" w:rsidP="001D69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Kontakt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WWW: </w:t>
      </w:r>
      <w:hyperlink r:id="rId32" w:history="1"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Evropská onkologická sesterská společnost (EONS)</w:t>
        </w:r>
      </w:hyperlink>
    </w:p>
    <w:p w:rsidR="001D697C" w:rsidRPr="001D697C" w:rsidRDefault="001D697C" w:rsidP="001D69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EDTNA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Evropská asociace dialyzačních a transplantačních sester &amp; Evropská asociace renální péče (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European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Dialysis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Transplant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Nurses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Association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&amp;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European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Renal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Care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Association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)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Asociace byla založena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nefrologickými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sestrami v roce 1971. Během let se rozrostla v důležité mezinárodní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forum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EDTNA/ERCA má multidisciplinární charakter a sdružuje všechny profese, které léčí pacienty se selháním ledvin. (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nefrologické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sestry, techniky, sociální pracovníky, dietní sestry, transplantační koordinátory a ostatní profese pracující v oblasti renální péče). V současné době Asociace sdružuje 5000 členů z více jak 65 zemí světa.</w:t>
      </w:r>
    </w:p>
    <w:p w:rsidR="001D697C" w:rsidRPr="001D697C" w:rsidRDefault="001D697C" w:rsidP="001D69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Cíle EDTNA/ERCA</w:t>
      </w:r>
    </w:p>
    <w:p w:rsidR="001D697C" w:rsidRPr="001D697C" w:rsidRDefault="001D697C" w:rsidP="001D69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být uznávanou evropskou multidisciplinární asociací v oblasti renální péče</w:t>
      </w:r>
    </w:p>
    <w:p w:rsidR="001D697C" w:rsidRPr="001D697C" w:rsidRDefault="001D697C" w:rsidP="001D69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dosáhnout vysoké úrovně kvality renální péče vyvinout a průběžně aktualizovat standardy renální péče</w:t>
      </w:r>
    </w:p>
    <w:p w:rsidR="001D697C" w:rsidRPr="001D697C" w:rsidRDefault="001D697C" w:rsidP="001D69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propagovat nové postupy v oblasti renální péče</w:t>
      </w:r>
    </w:p>
    <w:p w:rsidR="001D697C" w:rsidRPr="001D697C" w:rsidRDefault="001D697C" w:rsidP="001D69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edukaci a kontinuální profesní rozvoj všech členů multidiscipli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nárního týmu</w:t>
      </w:r>
    </w:p>
    <w:p w:rsidR="001D697C" w:rsidRPr="001D697C" w:rsidRDefault="001D697C" w:rsidP="001D69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iniciovat, podporovat a řídit výzkum v oblasti renální péče</w:t>
      </w:r>
    </w:p>
    <w:p w:rsidR="001D697C" w:rsidRPr="001D697C" w:rsidRDefault="001D697C" w:rsidP="001D69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komunikaci, spolupráci a výměnu zkušeností mezi všemi členy multidiscipli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nárního týmu</w:t>
      </w:r>
    </w:p>
    <w:p w:rsidR="001D697C" w:rsidRPr="001D697C" w:rsidRDefault="001D697C" w:rsidP="001D69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Kontakt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Zastupující clen EDTNA/ERCA pro ČR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Jitka Pancířová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Sokolovská 101/101 B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186 00 Praha 8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Česká republika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Tel: +420603261451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Fax: +42084840240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hyperlink r:id="rId33" w:history="1"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pancirova@vol</w:t>
        </w:r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softHyphen/>
          <w:t>ny.cz</w:t>
        </w:r>
      </w:hyperlink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WWW: </w:t>
      </w:r>
      <w:hyperlink r:id="rId34" w:history="1"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www.edtna-erca.org</w:t>
        </w:r>
      </w:hyperlink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EDTNA/ERCA </w:t>
      </w:r>
      <w:proofErr w:type="spellStart"/>
      <w:r w:rsidRPr="001D69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Head</w:t>
      </w:r>
      <w:proofErr w:type="spellEnd"/>
      <w:r w:rsidRPr="001D69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Office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Pilatusstrasse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35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Postfach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3052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CH-6002 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Lucerne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Switzerland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Tel: +41414407555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Fax: +41414403962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hyperlink r:id="rId35" w:history="1"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edtna_erca@com</w:t>
        </w:r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softHyphen/>
          <w:t>puserve.com</w:t>
        </w:r>
      </w:hyperlink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WWW: </w:t>
      </w:r>
      <w:hyperlink r:id="rId36" w:history="1"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www.edtna-erca.org</w:t>
        </w:r>
      </w:hyperlink>
    </w:p>
    <w:p w:rsidR="001D697C" w:rsidRDefault="001D697C" w:rsidP="001D697C">
      <w:pPr>
        <w:pStyle w:val="Nadpis1"/>
      </w:pPr>
      <w:r>
        <w:t>ACENDIO</w:t>
      </w:r>
    </w:p>
    <w:p w:rsidR="001D697C" w:rsidRDefault="001D697C" w:rsidP="001D697C">
      <w:pPr>
        <w:pStyle w:val="pretext"/>
      </w:pPr>
      <w:r>
        <w:t xml:space="preserve">ACENDIO je evropská organizace zabývající se problematikou standardizace ošetřovatelské terminologie v oblasti ošetřovatelských diagnóz, intervencí a očekávaných výsledků. </w:t>
      </w:r>
      <w:r>
        <w:br/>
        <w:t xml:space="preserve">ACENDIO je organizací, podporující vytváření standardní terminologie v ošetřovatelství, která je předpokladem efektivní komunikace a vedení zdravotnické dokumentace nejen na mezinárodní úrovni, ale uvnitř každé země. </w:t>
      </w:r>
      <w:r>
        <w:br/>
      </w:r>
      <w:r>
        <w:br/>
        <w:t xml:space="preserve">Vznikla v roce 1995 pod patronací </w:t>
      </w:r>
      <w:proofErr w:type="spellStart"/>
      <w:r>
        <w:t>Royal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Nursing</w:t>
      </w:r>
      <w:proofErr w:type="spellEnd"/>
      <w:r>
        <w:t xml:space="preserve"> z Velké Británie a má sídlo v Londýně.</w:t>
      </w:r>
    </w:p>
    <w:p w:rsidR="001D697C" w:rsidRDefault="001D697C" w:rsidP="001D697C">
      <w:pPr>
        <w:pStyle w:val="Nadpis2"/>
      </w:pPr>
      <w:r>
        <w:t>Kontakt</w:t>
      </w:r>
    </w:p>
    <w:p w:rsidR="001D697C" w:rsidRDefault="001D697C" w:rsidP="001D697C">
      <w:pPr>
        <w:pStyle w:val="Normlnweb"/>
      </w:pPr>
      <w:r>
        <w:t xml:space="preserve">ACENDIO </w:t>
      </w:r>
      <w:r>
        <w:br/>
        <w:t xml:space="preserve">Anne </w:t>
      </w:r>
      <w:proofErr w:type="spellStart"/>
      <w:r>
        <w:t>Casey</w:t>
      </w:r>
      <w:proofErr w:type="spellEnd"/>
      <w:r>
        <w:t xml:space="preserve"> </w:t>
      </w:r>
      <w:r>
        <w:br/>
      </w:r>
      <w:proofErr w:type="spellStart"/>
      <w:r>
        <w:t>Royal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Nursing</w:t>
      </w:r>
      <w:proofErr w:type="spellEnd"/>
      <w:r>
        <w:t xml:space="preserve"> </w:t>
      </w:r>
      <w:r>
        <w:br/>
        <w:t>20 </w:t>
      </w:r>
      <w:proofErr w:type="spellStart"/>
      <w:r>
        <w:t>Caavendish</w:t>
      </w:r>
      <w:proofErr w:type="spellEnd"/>
      <w:r>
        <w:t xml:space="preserve"> Square </w:t>
      </w:r>
      <w:r>
        <w:br/>
        <w:t xml:space="preserve">London WIM OAB, UK </w:t>
      </w:r>
      <w:r>
        <w:br/>
        <w:t xml:space="preserve">WWW: </w:t>
      </w:r>
      <w:hyperlink r:id="rId37" w:history="1">
        <w:r>
          <w:rPr>
            <w:rStyle w:val="Hypertextovodkaz"/>
          </w:rPr>
          <w:t>http://www.acen</w:t>
        </w:r>
        <w:r>
          <w:rPr>
            <w:rStyle w:val="Hypertextovodkaz"/>
          </w:rPr>
          <w:softHyphen/>
          <w:t>dio.net</w:t>
        </w:r>
      </w:hyperlink>
    </w:p>
    <w:p w:rsidR="001D697C" w:rsidRDefault="001D697C" w:rsidP="001D697C">
      <w:pPr>
        <w:pStyle w:val="Nadpis1"/>
      </w:pPr>
      <w:r>
        <w:t>HORATIO</w:t>
      </w:r>
    </w:p>
    <w:p w:rsidR="001D697C" w:rsidRDefault="001D697C" w:rsidP="001D697C">
      <w:pPr>
        <w:pStyle w:val="pretext"/>
      </w:pPr>
      <w:r>
        <w:t>HORATIO je název evropské asociace psychiatrických sester, která chce podporovat praktickou spolupráci, vzdělávání, ale také profesní sebevědomí psychiatrických sester v evropských zemích. Jejím cílem je rovněž posílení hlasu psychiatrických sester v evropských sesterských organizacích (ICN, EFN, ESNO), prezentace a podpora jejich specifických profesních zájmů a potřeb.</w:t>
      </w:r>
    </w:p>
    <w:p w:rsidR="001D697C" w:rsidRDefault="001D697C" w:rsidP="001D697C">
      <w:pPr>
        <w:pStyle w:val="Normlnweb"/>
      </w:pPr>
      <w:r>
        <w:t xml:space="preserve">Název HORATIO si zakladatelé vypůjčili od Shakespeara. </w:t>
      </w:r>
      <w:proofErr w:type="spellStart"/>
      <w:r>
        <w:t>Horatio</w:t>
      </w:r>
      <w:proofErr w:type="spellEnd"/>
      <w:r>
        <w:t xml:space="preserve"> byl přítel Hamletův, doprovázel ho a chránil na všech jeho cestách, stál při něm věrně i v okamžicích, kdy ostatní pochybovali o Hamletově zdravém rozumu. V době, kdy Hamlet prochází těžkým vnitřním zápasem, je </w:t>
      </w:r>
      <w:proofErr w:type="spellStart"/>
      <w:r>
        <w:t>Horatio</w:t>
      </w:r>
      <w:proofErr w:type="spellEnd"/>
      <w:r>
        <w:t xml:space="preserve"> pro Hamleta jedinou důvěryhodnou osobou, jedinou spojkou s vnějším, „normální“ světem.</w:t>
      </w:r>
    </w:p>
    <w:p w:rsidR="001D697C" w:rsidRDefault="001D697C" w:rsidP="001D697C">
      <w:pPr>
        <w:pStyle w:val="Normlnweb"/>
      </w:pPr>
      <w:r>
        <w:t>Psychiatrické sestry se ve své profesi často ocitají v pozici Horatia. Doprovázejí své pacienty a klienty, kteří se pohybují mezi dvěma odlišnými realitami, a s pomocí své osobnosti, zkušeností a znalostí přispívají k tomu, aby život pacientů byl co nejdůstojnější a nejhodnotnější. Psychiatrická sekce ČAS navázala kontakty s iniciátory spolupráce evropských psychiatrických sester již v roce 2005. Od roku 2006 je řádným členem asociace a podílí se aktivně na její činnosti. V současné době je rovněž členem výboru asociace.</w:t>
      </w:r>
    </w:p>
    <w:p w:rsidR="001D697C" w:rsidRDefault="001D697C" w:rsidP="001D697C">
      <w:pPr>
        <w:pStyle w:val="Nadpis2"/>
      </w:pPr>
      <w:r>
        <w:t>Kontakt</w:t>
      </w:r>
    </w:p>
    <w:p w:rsidR="001D697C" w:rsidRDefault="001D697C" w:rsidP="001D697C">
      <w:pPr>
        <w:pStyle w:val="Normlnweb"/>
      </w:pPr>
      <w:r>
        <w:lastRenderedPageBreak/>
        <w:t xml:space="preserve">www: </w:t>
      </w:r>
      <w:hyperlink r:id="rId38" w:history="1">
        <w:r>
          <w:rPr>
            <w:rStyle w:val="Hypertextovodkaz"/>
          </w:rPr>
          <w:t>http://www.horatio-web.eu</w:t>
        </w:r>
      </w:hyperlink>
    </w:p>
    <w:p w:rsidR="001D697C" w:rsidRPr="001D697C" w:rsidRDefault="001D697C" w:rsidP="001D69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ESGENA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je název evropské společnosti gastroenterolo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gických a endoskopických sester a spolupracovníků, se zaměřením na zlepšování kvality a zvyšování úrovně ošetřovatelské péče v endoskopii a gastroenterologii. Jejím hlavním cílem je vytvářet komunikační mosty mezi zdravotnickými pracovníky působící v oblasti gastroenterolo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gického a endoskopického ošetřovatelství na evropské úrovni a podněcovat jejich vzájemnou spolupráci.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Významnou měrou se podílí na vzdělávání pracovníků a zvyšování statutu jejich kvalifikace. Reprezentuje také zájmy svých členů v Evropské společnosti gastrointestinální endoskopie (E.</w:t>
      </w:r>
      <w:proofErr w:type="gram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S.G.E.) a spolupracuje</w:t>
      </w:r>
      <w:proofErr w:type="gram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mnoha odborníky v oblasti gastroenterologie a digestivní endoskopie. Je proslulá každoročním pořádáním evropské konference gastroenterolo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 xml:space="preserve">gických a endoskopických sester a spolupracovníků, konané v rámci UEGW. Významně také participuje na pořádání workshopů o novinkách v endoskopii společně s lékařskou organizací ESGE, se kterou úzce spolupracuje při vytváření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guidelines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gastroenterologii a endoskopii. Společnost má více jak 6 800 členů ze 40 členských zemí.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Rozvojem vzdělávání se zabývá speciální edukační pracovní skupina – EEWG, složená z reprezentantů jednotlivých členských zemí. Činnost organizace je dvakrát ročně publikována v časopise ESGENA NEWS a na jejich webových stránkách.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Souhrnně lze konstatovat, že ESGENA je organizace, která se v mnoha směrech podílí na zkvalitňování komplexní péče o pacienty na gastroenterolo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gických a endoskopických pracovištích. Cíle společnosti:</w:t>
      </w:r>
    </w:p>
    <w:p w:rsidR="001D697C" w:rsidRPr="001D697C" w:rsidRDefault="001D697C" w:rsidP="001D69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podněcovat evropskou spolupráci v ošetřovatelských výzkumech za účelem zvyšování kvality péče,</w:t>
      </w:r>
    </w:p>
    <w:p w:rsidR="001D697C" w:rsidRPr="001D697C" w:rsidRDefault="001D697C" w:rsidP="001D69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zajišťovat vzdělávací příležitosti pro personál pracující v oblasti gastroenterolo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gického a endoskopického ošetřovatelství,</w:t>
      </w:r>
    </w:p>
    <w:p w:rsidR="001D697C" w:rsidRPr="001D697C" w:rsidRDefault="001D697C" w:rsidP="001D69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zvyšovat uznávané kvalifikace v oblasti gastroenterolo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gického a endoskopického ošetřovatelství na evropskou úroveň,</w:t>
      </w:r>
    </w:p>
    <w:p w:rsidR="001D697C" w:rsidRPr="001D697C" w:rsidRDefault="001D697C" w:rsidP="001D69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zlepšovat spolupráci s ostatními profesionálními skupinami se slučitelnými záměry,</w:t>
      </w:r>
    </w:p>
    <w:p w:rsidR="001D697C" w:rsidRPr="001D697C" w:rsidRDefault="001D697C" w:rsidP="001D69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zvýšit profesionální statut gastroenterolo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gických a endoskopických sester a endoskopických spolupracovníků na evropskou úroveň,</w:t>
      </w:r>
    </w:p>
    <w:p w:rsidR="001D697C" w:rsidRPr="001D697C" w:rsidRDefault="001D697C" w:rsidP="001D69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reprezentovat zájmy svých členů v Evropské společnosti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gastroitestinální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endoskopie (E.</w:t>
      </w:r>
      <w:proofErr w:type="gram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S.G.E.),</w:t>
      </w:r>
      <w:proofErr w:type="gramEnd"/>
    </w:p>
    <w:p w:rsidR="001D697C" w:rsidRPr="001D697C" w:rsidRDefault="001D697C" w:rsidP="001D69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spoluprácovat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mnoha odborníky v oblasti gastroenterologie a digestivní endoskopie, kteří se podílí na přednáškové činnosti a školení.</w:t>
      </w:r>
    </w:p>
    <w:p w:rsidR="001D697C" w:rsidRPr="001D697C" w:rsidRDefault="001D697C" w:rsidP="001D69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Kontakt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www: </w:t>
      </w:r>
      <w:hyperlink r:id="rId39" w:history="1"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http://www.es</w:t>
        </w:r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softHyphen/>
          <w:t>gena.org</w:t>
        </w:r>
      </w:hyperlink>
    </w:p>
    <w:p w:rsidR="001D697C" w:rsidRDefault="001D697C" w:rsidP="001D697C">
      <w:pPr>
        <w:pStyle w:val="Nadpis1"/>
      </w:pPr>
      <w:r>
        <w:t>EFAD</w:t>
      </w:r>
    </w:p>
    <w:p w:rsidR="001D697C" w:rsidRDefault="001D697C" w:rsidP="001D697C">
      <w:pPr>
        <w:pStyle w:val="pretext"/>
      </w:pPr>
      <w:r>
        <w:lastRenderedPageBreak/>
        <w:t>Evropské sdružení odborných společností nutričních terapeutů (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Dietitians</w:t>
      </w:r>
      <w:proofErr w:type="spellEnd"/>
      <w:r>
        <w:t xml:space="preserve">). </w:t>
      </w:r>
      <w:r>
        <w:br/>
        <w:t>EFAD je nezisková organizace sdružující aktuálně 30 členských asociací.</w:t>
      </w:r>
    </w:p>
    <w:p w:rsidR="001D697C" w:rsidRDefault="001D697C" w:rsidP="001D697C">
      <w:pPr>
        <w:pStyle w:val="Normlnweb"/>
      </w:pPr>
      <w:r>
        <w:t xml:space="preserve">Jsou to tyto země: </w:t>
      </w:r>
      <w:r>
        <w:br/>
        <w:t xml:space="preserve">Rakousko, Belgie, Kypr, Dánsko, Finsko, Francie, Německo, Řecko, Maďarsko, Island, Irsko, Itálie, Lucembursko, Nizozemsko, Norsko, Polsko, Portugalsko, Slovinsko, Španělsko, Švédsko, Švýcarsko, Turecko, Velká Británie. </w:t>
      </w:r>
    </w:p>
    <w:p w:rsidR="001D697C" w:rsidRDefault="001D697C" w:rsidP="001D697C">
      <w:pPr>
        <w:pStyle w:val="Normlnweb"/>
      </w:pPr>
      <w:r>
        <w:t xml:space="preserve">Přidružení členové jsou z Izraele, Lotyšska. </w:t>
      </w:r>
    </w:p>
    <w:p w:rsidR="001D697C" w:rsidRDefault="001D697C" w:rsidP="001D697C">
      <w:pPr>
        <w:pStyle w:val="Normlnweb"/>
      </w:pPr>
      <w:r>
        <w:t>Česká Republika je v tuto chvíli prostřednictvím ČAS, Sekce výživy a nutriční péče žadatelem o přidružené členství.</w:t>
      </w:r>
    </w:p>
    <w:p w:rsidR="001D697C" w:rsidRDefault="001D697C" w:rsidP="001D697C">
      <w:pPr>
        <w:pStyle w:val="Nadpis2"/>
      </w:pPr>
      <w:r>
        <w:t>Historie</w:t>
      </w:r>
    </w:p>
    <w:p w:rsidR="001D697C" w:rsidRDefault="001D697C" w:rsidP="001D697C">
      <w:pPr>
        <w:pStyle w:val="Nadpis3"/>
      </w:pPr>
      <w:r>
        <w:t>1978 – 2003</w:t>
      </w:r>
    </w:p>
    <w:p w:rsidR="001D697C" w:rsidRDefault="001D697C" w:rsidP="001D697C">
      <w:pPr>
        <w:pStyle w:val="Normlnweb"/>
      </w:pPr>
      <w:r>
        <w:t>Založena v roce 1978 v Kodani deseti národními dietetickými asociacemi (10 380 členů) a do roku 2003 se jejich počet zvýšil na 22 s 22 000 členy.</w:t>
      </w:r>
    </w:p>
    <w:p w:rsidR="001D697C" w:rsidRDefault="001D697C" w:rsidP="001D697C">
      <w:pPr>
        <w:pStyle w:val="Nadpis3"/>
      </w:pPr>
      <w:r>
        <w:t>2004 – 2008</w:t>
      </w:r>
    </w:p>
    <w:p w:rsidR="001D697C" w:rsidRDefault="001D697C" w:rsidP="001D697C">
      <w:pPr>
        <w:pStyle w:val="Normlnweb"/>
      </w:pPr>
      <w:r>
        <w:t xml:space="preserve">Organizace začíná velmi aktivně pracovat – získává grant Evropské Unie na porovnání vzdělávacích programů mezi jednotlivými evropskými státy a vytvoření podkladu pro jednotné standardy. Vznikají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and </w:t>
      </w:r>
      <w:proofErr w:type="spellStart"/>
      <w:r>
        <w:t>Practitioner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“ – Evropské, vzdělávací a odborné, dietetické standardy. </w:t>
      </w:r>
      <w:r>
        <w:br/>
        <w:t>Do organizace vstupují další členové a grantem podpořený projekt TN DIETS – výstupem jsou Mezinárodní etický kodex a Kodex standardů v praxi.</w:t>
      </w:r>
    </w:p>
    <w:p w:rsidR="001D697C" w:rsidRDefault="001D697C" w:rsidP="001D697C">
      <w:pPr>
        <w:pStyle w:val="Nadpis3"/>
      </w:pPr>
      <w:r>
        <w:t>2009 – 2013</w:t>
      </w:r>
    </w:p>
    <w:p w:rsidR="001D697C" w:rsidRDefault="001D697C" w:rsidP="001D697C">
      <w:pPr>
        <w:pStyle w:val="Normlnweb"/>
      </w:pPr>
      <w:r>
        <w:t>Vznikají další dokumenty „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Dietetic</w:t>
      </w:r>
      <w:proofErr w:type="spellEnd"/>
      <w:r>
        <w:t xml:space="preserve"> </w:t>
      </w:r>
      <w:proofErr w:type="spellStart"/>
      <w:r>
        <w:t>Competences</w:t>
      </w:r>
      <w:proofErr w:type="spellEnd"/>
      <w:r>
        <w:t xml:space="preserve"> and thein Performance </w:t>
      </w:r>
      <w:proofErr w:type="spellStart"/>
      <w:proofErr w:type="gramStart"/>
      <w:r>
        <w:t>Indicators</w:t>
      </w:r>
      <w:proofErr w:type="spellEnd"/>
      <w:r>
        <w:t>“– Evropské</w:t>
      </w:r>
      <w:proofErr w:type="gramEnd"/>
      <w:r>
        <w:t xml:space="preserve"> kompetence a jejich indikátory výkonů, „</w:t>
      </w:r>
      <w:proofErr w:type="spellStart"/>
      <w:r>
        <w:t>Dietetic</w:t>
      </w:r>
      <w:proofErr w:type="spellEnd"/>
      <w:r>
        <w:t xml:space="preserve"> Management </w:t>
      </w:r>
      <w:proofErr w:type="spellStart"/>
      <w:r>
        <w:t>of</w:t>
      </w:r>
      <w:proofErr w:type="spellEnd"/>
      <w:r>
        <w:t xml:space="preserve"> Obesity“ 2010 – Dietetická léčba obezity. </w:t>
      </w:r>
      <w:r>
        <w:br/>
        <w:t>Současně na základě aktuální celoevropské potřeby vzniká dokument „</w:t>
      </w:r>
      <w:proofErr w:type="spellStart"/>
      <w:r>
        <w:t>The</w:t>
      </w:r>
      <w:proofErr w:type="spellEnd"/>
      <w:r>
        <w:t xml:space="preserve"> role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Dietitian</w:t>
      </w:r>
      <w:proofErr w:type="spellEnd"/>
      <w:r>
        <w:t xml:space="preserve"> in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Malnutrition</w:t>
      </w:r>
      <w:proofErr w:type="spellEnd"/>
      <w:r>
        <w:t xml:space="preserve">“ 2010 – Úloha nutričních terapeutů v boji proti podvýživě (2010). </w:t>
      </w:r>
      <w:r>
        <w:br/>
        <w:t>Pod označením DIETS 2 se začíná intenzivně pracovat na dalších tématech a to již v pracovních skupinách tvořených zástupci z různých zemí.</w:t>
      </w:r>
    </w:p>
    <w:p w:rsidR="001D697C" w:rsidRDefault="001D697C" w:rsidP="001D697C">
      <w:pPr>
        <w:pStyle w:val="Nadpis2"/>
      </w:pPr>
      <w:r>
        <w:t>Cíle EFAD</w:t>
      </w:r>
    </w:p>
    <w:p w:rsidR="001D697C" w:rsidRDefault="001D697C" w:rsidP="001D697C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Podpora rozvoje dietetické profese.</w:t>
      </w:r>
    </w:p>
    <w:p w:rsidR="001D697C" w:rsidRDefault="001D697C" w:rsidP="001D697C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Rozvoj dietetiky.</w:t>
      </w:r>
    </w:p>
    <w:p w:rsidR="001D697C" w:rsidRDefault="001D697C" w:rsidP="001D697C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Usnadnění mezinárodní komunikace v oblasti dietetiky.</w:t>
      </w:r>
    </w:p>
    <w:p w:rsidR="001D697C" w:rsidRDefault="001D697C" w:rsidP="001D697C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Podpora kvalitního výživového stavu populace evropských zemí pomocí odborných aktivit.</w:t>
      </w:r>
    </w:p>
    <w:p w:rsidR="001D697C" w:rsidRDefault="001D697C" w:rsidP="001D697C">
      <w:pPr>
        <w:pStyle w:val="Nadpis2"/>
      </w:pPr>
      <w:r>
        <w:lastRenderedPageBreak/>
        <w:t>Kontakt</w:t>
      </w:r>
    </w:p>
    <w:p w:rsidR="001D697C" w:rsidRDefault="001D697C" w:rsidP="001D697C">
      <w:pPr>
        <w:pStyle w:val="Normlnweb"/>
      </w:pPr>
      <w:r>
        <w:t xml:space="preserve">e-mail: </w:t>
      </w:r>
      <w:hyperlink r:id="rId40" w:tooltip="secretariat@efad.org" w:history="1">
        <w:r>
          <w:rPr>
            <w:rStyle w:val="Hypertextovodkaz"/>
          </w:rPr>
          <w:t>secretariat@e</w:t>
        </w:r>
        <w:r>
          <w:rPr>
            <w:rStyle w:val="Hypertextovodkaz"/>
          </w:rPr>
          <w:softHyphen/>
          <w:t>fad.org</w:t>
        </w:r>
      </w:hyperlink>
      <w:r>
        <w:t xml:space="preserve"> </w:t>
      </w:r>
      <w:r>
        <w:br/>
      </w:r>
      <w:hyperlink r:id="rId41" w:history="1">
        <w:r>
          <w:rPr>
            <w:rStyle w:val="Hypertextovodkaz"/>
          </w:rPr>
          <w:t>www.efad.eu</w:t>
        </w:r>
      </w:hyperlink>
    </w:p>
    <w:p w:rsidR="001D697C" w:rsidRDefault="001D697C" w:rsidP="001D697C"/>
    <w:p w:rsidR="001D697C" w:rsidRDefault="001D697C" w:rsidP="001D697C">
      <w:pPr>
        <w:pStyle w:val="Nadpis3"/>
      </w:pPr>
      <w:r>
        <w:t>Projekty 2006 – 2009 (TN DIETS)</w:t>
      </w:r>
    </w:p>
    <w:p w:rsidR="001D697C" w:rsidRDefault="001D697C" w:rsidP="001D697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tříletý projekt,</w:t>
      </w:r>
    </w:p>
    <w:p w:rsidR="001D697C" w:rsidRDefault="001D697C" w:rsidP="001D697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podpora EACEA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Audiovisual</w:t>
      </w:r>
      <w:proofErr w:type="spellEnd"/>
      <w:r>
        <w:t xml:space="preserve"> and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Agency</w:t>
      </w:r>
      <w:proofErr w:type="spellEnd"/>
      <w:r>
        <w:t>,</w:t>
      </w:r>
    </w:p>
    <w:p w:rsidR="001D697C" w:rsidRDefault="001D697C" w:rsidP="001D697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koordinační institucí – univerzita Plymouth, Velká Británie,</w:t>
      </w:r>
    </w:p>
    <w:p w:rsidR="001D697C" w:rsidRDefault="001D697C" w:rsidP="001D697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účast 128 partnerských institucí,</w:t>
      </w:r>
    </w:p>
    <w:p w:rsidR="001D697C" w:rsidRDefault="001D697C" w:rsidP="001D697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3 konference, 8 bulletinů, 48 výměnných návštěv.</w:t>
      </w:r>
    </w:p>
    <w:p w:rsidR="001D697C" w:rsidRDefault="001D697C" w:rsidP="001D697C">
      <w:pPr>
        <w:pStyle w:val="Nadpis3"/>
      </w:pPr>
      <w:r>
        <w:t>Záměry a cíle TN DIETS</w:t>
      </w:r>
    </w:p>
    <w:p w:rsidR="001D697C" w:rsidRDefault="001D697C" w:rsidP="001D697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popsání oblastí dietetické praxe,</w:t>
      </w:r>
    </w:p>
    <w:p w:rsidR="001D697C" w:rsidRDefault="001D697C" w:rsidP="001D697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rozvíjet využití ECTS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Transfer and </w:t>
      </w:r>
      <w:proofErr w:type="spellStart"/>
      <w:r>
        <w:t>Accumulation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>,</w:t>
      </w:r>
    </w:p>
    <w:p w:rsidR="001D697C" w:rsidRDefault="001D697C" w:rsidP="001D697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usnadnění sdílení získaných informací,</w:t>
      </w:r>
    </w:p>
    <w:p w:rsidR="001D697C" w:rsidRDefault="001D697C" w:rsidP="001D697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šíření příkladů osvědčené praxe,</w:t>
      </w:r>
    </w:p>
    <w:p w:rsidR="001D697C" w:rsidRDefault="001D697C" w:rsidP="001D697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rozvíjení ukazatelů kvality.</w:t>
      </w:r>
    </w:p>
    <w:p w:rsidR="001D697C" w:rsidRDefault="001D697C" w:rsidP="001D697C">
      <w:pPr>
        <w:pStyle w:val="Nadpis3"/>
      </w:pPr>
      <w:r>
        <w:t>Činnost TN DIETS</w:t>
      </w:r>
    </w:p>
    <w:p w:rsidR="001D697C" w:rsidRDefault="001D697C" w:rsidP="001D697C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rozdělení povolání do třech podkategorií,</w:t>
      </w:r>
    </w:p>
    <w:p w:rsidR="001D697C" w:rsidRDefault="001D697C" w:rsidP="001D697C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sdílení znalostí a zkušeností,</w:t>
      </w:r>
    </w:p>
    <w:p w:rsidR="001D697C" w:rsidRDefault="001D697C" w:rsidP="001D697C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propagace osvědčené pedagogické praxe, odborných praxí,</w:t>
      </w:r>
    </w:p>
    <w:p w:rsidR="001D697C" w:rsidRDefault="001D697C" w:rsidP="001D697C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využití výměnných pobytů,</w:t>
      </w:r>
    </w:p>
    <w:p w:rsidR="001D697C" w:rsidRDefault="001D697C" w:rsidP="001D697C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publikace odborných materiálů, konferencí.</w:t>
      </w:r>
    </w:p>
    <w:p w:rsidR="001D697C" w:rsidRDefault="001D697C" w:rsidP="001D697C">
      <w:pPr>
        <w:pStyle w:val="Nadpis3"/>
      </w:pPr>
      <w:r>
        <w:t>Zprávy o činnosti TN DIETS</w:t>
      </w:r>
    </w:p>
    <w:p w:rsidR="001D697C" w:rsidRDefault="001D697C" w:rsidP="001D697C">
      <w:pPr>
        <w:numPr>
          <w:ilvl w:val="0"/>
          <w:numId w:val="14"/>
        </w:numPr>
        <w:spacing w:before="100" w:beforeAutospacing="1" w:after="100" w:afterAutospacing="1" w:line="240" w:lineRule="auto"/>
      </w:pPr>
      <w:proofErr w:type="spellStart"/>
      <w:r>
        <w:t>European</w:t>
      </w:r>
      <w:proofErr w:type="spellEnd"/>
      <w:r>
        <w:t xml:space="preserve"> </w:t>
      </w:r>
      <w:proofErr w:type="spellStart"/>
      <w:r>
        <w:t>Dietetics</w:t>
      </w:r>
      <w:proofErr w:type="spellEnd"/>
      <w:r>
        <w:t xml:space="preserve"> </w:t>
      </w:r>
      <w:proofErr w:type="spellStart"/>
      <w:r>
        <w:t>Competences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Performance.</w:t>
      </w:r>
    </w:p>
    <w:p w:rsidR="001D697C" w:rsidRDefault="001D697C" w:rsidP="001D697C">
      <w:pPr>
        <w:numPr>
          <w:ilvl w:val="0"/>
          <w:numId w:val="14"/>
        </w:numPr>
        <w:spacing w:before="100" w:beforeAutospacing="1" w:after="100" w:afterAutospacing="1" w:line="240" w:lineRule="auto"/>
      </w:pPr>
      <w:proofErr w:type="spellStart"/>
      <w:r>
        <w:t>Indicators</w:t>
      </w:r>
      <w:proofErr w:type="spellEnd"/>
      <w:r>
        <w:t xml:space="preserve"> 2009.</w:t>
      </w:r>
    </w:p>
    <w:p w:rsidR="001D697C" w:rsidRDefault="001D697C" w:rsidP="001D697C">
      <w:pPr>
        <w:numPr>
          <w:ilvl w:val="0"/>
          <w:numId w:val="14"/>
        </w:numPr>
        <w:spacing w:before="100" w:beforeAutospacing="1" w:after="100" w:afterAutospacing="1" w:line="240" w:lineRule="auto"/>
      </w:pPr>
    </w:p>
    <w:p w:rsidR="001D697C" w:rsidRDefault="001D697C" w:rsidP="001D697C">
      <w:pPr>
        <w:numPr>
          <w:ilvl w:val="0"/>
          <w:numId w:val="14"/>
        </w:numPr>
        <w:spacing w:before="100" w:beforeAutospacing="1" w:after="100" w:afterAutospacing="1" w:line="240" w:lineRule="auto"/>
      </w:pPr>
      <w:proofErr w:type="spellStart"/>
      <w:r>
        <w:t>European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Dietetics</w:t>
      </w:r>
      <w:proofErr w:type="spellEnd"/>
      <w:r>
        <w:t xml:space="preserve"> 2010</w:t>
      </w:r>
    </w:p>
    <w:p w:rsidR="001D697C" w:rsidRDefault="001D697C" w:rsidP="001D697C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Report 1: </w:t>
      </w:r>
      <w:proofErr w:type="spellStart"/>
      <w:r>
        <w:t>Building</w:t>
      </w:r>
      <w:proofErr w:type="spellEnd"/>
      <w:r>
        <w:t xml:space="preserve"> a </w:t>
      </w:r>
      <w:proofErr w:type="spellStart"/>
      <w:r>
        <w:t>technologically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communication</w:t>
      </w:r>
      <w:proofErr w:type="spellEnd"/>
      <w:r>
        <w:t xml:space="preserve"> network in </w:t>
      </w:r>
      <w:proofErr w:type="spellStart"/>
      <w:r>
        <w:t>Europe</w:t>
      </w:r>
      <w:proofErr w:type="spellEnd"/>
      <w:r>
        <w:t xml:space="preserve"> (Vybudování informační a komunikační sítě v Evropě).</w:t>
      </w:r>
    </w:p>
    <w:p w:rsidR="001D697C" w:rsidRDefault="001D697C" w:rsidP="001D697C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Report 3: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technology to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and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(Využití informačních technologií za účelem sdílení a šíření zkušeností).</w:t>
      </w:r>
    </w:p>
    <w:p w:rsidR="001D697C" w:rsidRDefault="001D697C" w:rsidP="001D697C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Report 4: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European</w:t>
      </w:r>
      <w:proofErr w:type="spellEnd"/>
      <w:r>
        <w:t xml:space="preserve"> Network (Šíření Evropského spolupráce a kontaktů).</w:t>
      </w:r>
    </w:p>
    <w:p w:rsidR="001D697C" w:rsidRDefault="001D697C" w:rsidP="001D697C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Report 5: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Assurance</w:t>
      </w:r>
      <w:proofErr w:type="spellEnd"/>
      <w:r>
        <w:t xml:space="preserve">, </w:t>
      </w:r>
      <w:proofErr w:type="spellStart"/>
      <w:r>
        <w:t>Dietetic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and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(Zajišťování kvality, dietetických kompetencí a standardů pro odbornou praxi).</w:t>
      </w:r>
    </w:p>
    <w:p w:rsidR="001D697C" w:rsidRDefault="001D697C" w:rsidP="001D697C">
      <w:pPr>
        <w:spacing w:after="0"/>
      </w:pPr>
    </w:p>
    <w:p w:rsidR="001D697C" w:rsidRDefault="001D697C" w:rsidP="001D697C">
      <w:pPr>
        <w:pStyle w:val="Nadpis2"/>
      </w:pPr>
      <w:r>
        <w:lastRenderedPageBreak/>
        <w:t>DIETS 2 </w:t>
      </w:r>
      <w:proofErr w:type="spellStart"/>
      <w:r>
        <w:t>Dietitians</w:t>
      </w:r>
      <w:proofErr w:type="spellEnd"/>
      <w:r>
        <w:t xml:space="preserve">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and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Dietitians</w:t>
      </w:r>
      <w:proofErr w:type="spellEnd"/>
      <w:r>
        <w:t xml:space="preserve"> zajišťující vzdělávání a profesionální přístup</w:t>
      </w:r>
    </w:p>
    <w:p w:rsidR="001D697C" w:rsidRDefault="001D697C" w:rsidP="001D697C">
      <w:pPr>
        <w:pStyle w:val="Nadpis3"/>
      </w:pPr>
      <w:r>
        <w:t>Projekt 2010 – 2013 (DIETS 2)</w:t>
      </w:r>
    </w:p>
    <w:p w:rsidR="001D697C" w:rsidRDefault="001D697C" w:rsidP="001D697C">
      <w:pPr>
        <w:pStyle w:val="Nadpis3"/>
      </w:pPr>
      <w:r>
        <w:t>Záměry a cíle DIETS 2</w:t>
      </w:r>
    </w:p>
    <w:p w:rsidR="001D697C" w:rsidRDefault="001D697C" w:rsidP="001D697C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Tvorba 2. a 3. úrovně dietetických kompetencí.</w:t>
      </w:r>
    </w:p>
    <w:p w:rsidR="001D697C" w:rsidRDefault="001D697C" w:rsidP="001D697C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Zlepšení kvality vzdělávání a odborných výcviků.</w:t>
      </w:r>
    </w:p>
    <w:p w:rsidR="001D697C" w:rsidRDefault="001D697C" w:rsidP="001D697C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LLL </w:t>
      </w:r>
      <w:proofErr w:type="spellStart"/>
      <w:r>
        <w:t>lifelong</w:t>
      </w:r>
      <w:proofErr w:type="spellEnd"/>
      <w:r>
        <w:t xml:space="preserve"> leasing.</w:t>
      </w:r>
    </w:p>
    <w:p w:rsidR="001D697C" w:rsidRDefault="001D697C" w:rsidP="001D697C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Zvýšené využívání informačních a komunikačních technologií.</w:t>
      </w:r>
    </w:p>
    <w:p w:rsidR="001D697C" w:rsidRDefault="001D697C" w:rsidP="001D697C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Sdílení a šíření inovací.</w:t>
      </w:r>
    </w:p>
    <w:p w:rsidR="001D697C" w:rsidRDefault="001D697C" w:rsidP="001D697C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Přispívání ke zlepšování zdravotní péče v Evropě.</w:t>
      </w:r>
    </w:p>
    <w:p w:rsidR="001D697C" w:rsidRDefault="001D697C" w:rsidP="001D697C">
      <w:pPr>
        <w:pStyle w:val="Nadpis3"/>
      </w:pPr>
      <w:r>
        <w:t>KONTAKT DIETS</w:t>
      </w:r>
    </w:p>
    <w:p w:rsidR="001D697C" w:rsidRDefault="001D697C" w:rsidP="001D697C">
      <w:pPr>
        <w:pStyle w:val="Normlnweb"/>
      </w:pPr>
      <w:r>
        <w:t xml:space="preserve">e-mail: </w:t>
      </w:r>
      <w:hyperlink r:id="rId42" w:tooltip="network.manager@thematicnetworkdietetics" w:history="1">
        <w:r>
          <w:rPr>
            <w:rStyle w:val="Hypertextovodkaz"/>
          </w:rPr>
          <w:t>network.manager@the</w:t>
        </w:r>
        <w:r>
          <w:rPr>
            <w:rStyle w:val="Hypertextovodkaz"/>
          </w:rPr>
          <w:softHyphen/>
          <w:t>maticnetworkdi</w:t>
        </w:r>
        <w:r>
          <w:rPr>
            <w:rStyle w:val="Hypertextovodkaz"/>
          </w:rPr>
          <w:softHyphen/>
          <w:t>etetics</w:t>
        </w:r>
      </w:hyperlink>
      <w:r>
        <w:t xml:space="preserve"> </w:t>
      </w:r>
      <w:r>
        <w:br/>
      </w:r>
      <w:hyperlink r:id="rId43" w:history="1">
        <w:r>
          <w:rPr>
            <w:rStyle w:val="Hypertextovodkaz"/>
          </w:rPr>
          <w:t>www.thematicnet</w:t>
        </w:r>
        <w:r>
          <w:rPr>
            <w:rStyle w:val="Hypertextovodkaz"/>
          </w:rPr>
          <w:softHyphen/>
          <w:t>workdietetics</w:t>
        </w:r>
        <w:r>
          <w:rPr>
            <w:rStyle w:val="Hypertextovodkaz"/>
          </w:rPr>
          <w:softHyphen/>
          <w:t>.eu</w:t>
        </w:r>
      </w:hyperlink>
    </w:p>
    <w:p w:rsidR="001D697C" w:rsidRDefault="007F2177" w:rsidP="001D697C">
      <w:pPr>
        <w:pStyle w:val="Normlnweb"/>
      </w:pPr>
      <w:hyperlink r:id="rId44" w:history="1">
        <w:proofErr w:type="spellStart"/>
        <w:r w:rsidR="001D697C">
          <w:rPr>
            <w:rStyle w:val="Hypertextovodkaz"/>
          </w:rPr>
          <w:t>Newsletter</w:t>
        </w:r>
        <w:proofErr w:type="spellEnd"/>
        <w:r w:rsidR="001D697C">
          <w:rPr>
            <w:rStyle w:val="Hypertextovodkaz"/>
          </w:rPr>
          <w:t xml:space="preserve"> 7/2011</w:t>
        </w:r>
      </w:hyperlink>
    </w:p>
    <w:p w:rsidR="001D697C" w:rsidRDefault="001D697C" w:rsidP="001D697C">
      <w:r>
        <w:rPr>
          <w:rFonts w:ascii="Times New Roman" w:hAnsi="Times New Roman" w:cs="Times New Roman"/>
        </w:rPr>
        <w:t>﻿</w:t>
      </w:r>
    </w:p>
    <w:p w:rsidR="001D697C" w:rsidRPr="001D697C" w:rsidRDefault="001D697C" w:rsidP="001D69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PNAE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Paediatric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Nursing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Associations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sdružením, zabývajícím se ošetřovatelstvím v pediatrii v Evropě.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WHO vyzvala v roce 2005 všechny země k zesílení úsilí na ochranu a podporu zdraví dětí. Sestry v celé Evropě, především dětské sestry, mají mít v tomto úsilí významnou úlohu. V mnoha zemích ale nemají dětské sestry odpovídající vzdělání a organizační podporu. Proto vznikla PNAE – sesterská asociace, aby posílila hlasy sester ve zdravotní politice v péči o děti a zlepšila potenciál sester přispět k ochraně a podpoře zdraví dětí a mladých lidí. Mimo jiné má tato organizace také přispívat i ke znovuzavedení vzdělávacích programů na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pre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 postgraduální úrovni vzdělávání dětských sester.</w:t>
      </w:r>
    </w:p>
    <w:p w:rsidR="001D697C" w:rsidRPr="001D697C" w:rsidRDefault="001D697C" w:rsidP="001D69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Historie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PNAE bylo založeno v roce 2003 pod záštitou RCN (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Royal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College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Nursing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v Londýně. Vzniklo na podkladě IAPN (Mezinárodní asociace dětských sester), která sdružuje asociace dětských sester v Evropě (a ta vznikla v roce 1998 za podpory IPA – Mezinárodní pediatrické asociace).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Sídlem IAPN je Holandsko, Amsterdam. Sídlem PNAE je Velká Británie, Londýn, Královská universita ošetřovatelství a koordinátorkou je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Fiona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Smith. Členem se může stát jakákoliv země nejen z EU, ale i mimo EU. Pediatrická sekce České asociace sester je členem od roku 2005.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PNAE sdružuje v současnosti 31 evropských zemí: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Rakousko, Belgie, Chorvatsko, Kypr, Dánsko, Česká republika, Estonsko, Finsko, Francie, Německo, Řecko, Maďarsko, Island, Irsko, Itálie, Litva, Lucembursko, Malta, Holandsko, Norsko, Polsko, Portugalsko, Rumunsko, Srbsko, Slovensko, Slovinsko, Španělsko, Švédsko, Švýcarsko, Turecko, Velká Británie.</w:t>
      </w:r>
    </w:p>
    <w:p w:rsidR="001D697C" w:rsidRPr="001D697C" w:rsidRDefault="001D697C" w:rsidP="001D69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Hlavní cíle</w:t>
      </w:r>
    </w:p>
    <w:p w:rsidR="001D697C" w:rsidRPr="001D697C" w:rsidRDefault="001D697C" w:rsidP="001D69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Úmluvu OSN o právech dítěte na celém světě.</w:t>
      </w:r>
    </w:p>
    <w:p w:rsidR="001D697C" w:rsidRPr="001D697C" w:rsidRDefault="001D697C" w:rsidP="001D69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komunikaci dětských sester v péči o dítě mezi jednotlivými zeměmi.</w:t>
      </w:r>
    </w:p>
    <w:p w:rsidR="001D697C" w:rsidRPr="001D697C" w:rsidRDefault="001D697C" w:rsidP="001D69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Zkvalitnit péči o dítě v současnosti i v budoucnosti.</w:t>
      </w:r>
    </w:p>
    <w:p w:rsidR="001D697C" w:rsidRPr="001D697C" w:rsidRDefault="001D697C" w:rsidP="001D69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Ochraňovat zdravý vývoj a práva dětí jak zdravých, tak hospitalizovaných.</w:t>
      </w:r>
    </w:p>
    <w:p w:rsidR="001D697C" w:rsidRPr="001D697C" w:rsidRDefault="001D697C" w:rsidP="001D69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Optimalizovat vzdělávání dětských sester.</w:t>
      </w:r>
    </w:p>
    <w:p w:rsidR="001D697C" w:rsidRPr="001D697C" w:rsidRDefault="001D697C" w:rsidP="001D69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Věda a výzkum v pediatrickém ošetřovatelství.</w:t>
      </w:r>
    </w:p>
    <w:p w:rsidR="001D697C" w:rsidRPr="001D697C" w:rsidRDefault="001D697C" w:rsidP="001D69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rozvoj oboru dětská sestra napříč Evropou.</w:t>
      </w:r>
    </w:p>
    <w:p w:rsidR="001D697C" w:rsidRPr="001D697C" w:rsidRDefault="001D697C" w:rsidP="001D69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D697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Pediatrická sekce ČAS a PNAE</w:t>
      </w:r>
    </w:p>
    <w:p w:rsidR="001D697C" w:rsidRPr="001D697C" w:rsidRDefault="001D697C" w:rsidP="001D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Jednacím jazykem v PNAE je angličtina, proto naše spolupráce s PNAE byla až do roku 2013 spíše korespondenční (vyplňování různých dotazníků, anket a předávání informací pouze e-mailem).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Naším cílem bylo osobní setkávání. PNAE se schází nejméně 2× ročně v různých evropských městech a součástí těchto setkání je vždy i zajímavá návštěva nějakého zdravotnického zařízení.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 listopadu 2013 se nám podařilo toto setkání uskutečnit v Praze. </w:t>
      </w:r>
      <w:proofErr w:type="spellStart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Fiona</w:t>
      </w:r>
      <w:proofErr w:type="spellEnd"/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Smith vyjádřila po konferenci poděkování za PNAE a setkání v Praze ocenila. Vyjádřila také přání, aby se zástupci pediatrické sekce ČAS i nadále zúčastňovali těchto schůzek aktivně.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Setkání se zúčastnili zástupci: Velké Británie, Itálie, Francie, Švýcarska, Belgie, Holandska, Švédska, Norska, Dánska, Řecka, Turecka a Chorvatska. První den proběhla návštěva dětské JIP a neonatologie (ARO a JIP) ve VFN. Během exkurze probíhala široká diskuse: pracovní podmínky sester, nové ošetřovatelské postupy a trendy v péči o děti v ČR, spolupráce s rodinou a další.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Druhý den byla konference, na níž se probíralo mimo jiné: vzdělávání dětských sester, pobyt dětí s doprovodem v jednotlivých zemích, role školních sester, paliativní péče a hospice pro děti. </w:t>
      </w:r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Další zasedání proběhlo v dubnu 2014 v Norsku (Oslo) a v listopadu 2014 v Portugalsku (Porto). Zprávy z těchto setkání naleznete </w:t>
      </w:r>
      <w:hyperlink r:id="rId45" w:history="1">
        <w:r w:rsidRPr="001D69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zde</w:t>
        </w:r>
      </w:hyperlink>
      <w:r w:rsidRPr="001D69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A7BF5" w:rsidRPr="009A7BF5" w:rsidRDefault="009A7BF5" w:rsidP="009A7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0AE9" w:rsidRDefault="00160AE9"/>
    <w:sectPr w:rsidR="00160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F48C6"/>
    <w:multiLevelType w:val="multilevel"/>
    <w:tmpl w:val="14EE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47065"/>
    <w:multiLevelType w:val="multilevel"/>
    <w:tmpl w:val="4F9A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B1653"/>
    <w:multiLevelType w:val="multilevel"/>
    <w:tmpl w:val="273C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D2C9C"/>
    <w:multiLevelType w:val="multilevel"/>
    <w:tmpl w:val="101A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85E5F"/>
    <w:multiLevelType w:val="multilevel"/>
    <w:tmpl w:val="37CE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155D9"/>
    <w:multiLevelType w:val="multilevel"/>
    <w:tmpl w:val="5ADA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E3F00"/>
    <w:multiLevelType w:val="multilevel"/>
    <w:tmpl w:val="672E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0F2C05"/>
    <w:multiLevelType w:val="multilevel"/>
    <w:tmpl w:val="E22C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907FBE"/>
    <w:multiLevelType w:val="multilevel"/>
    <w:tmpl w:val="BB74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5552D0"/>
    <w:multiLevelType w:val="multilevel"/>
    <w:tmpl w:val="9074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D2780A"/>
    <w:multiLevelType w:val="multilevel"/>
    <w:tmpl w:val="CA00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B14DBA"/>
    <w:multiLevelType w:val="multilevel"/>
    <w:tmpl w:val="5C52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5F560F"/>
    <w:multiLevelType w:val="multilevel"/>
    <w:tmpl w:val="9AA6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C71FD"/>
    <w:multiLevelType w:val="multilevel"/>
    <w:tmpl w:val="783A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8E06BE"/>
    <w:multiLevelType w:val="multilevel"/>
    <w:tmpl w:val="B612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A64FC0"/>
    <w:multiLevelType w:val="multilevel"/>
    <w:tmpl w:val="7808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626561"/>
    <w:multiLevelType w:val="multilevel"/>
    <w:tmpl w:val="2B7C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4"/>
  </w:num>
  <w:num w:numId="5">
    <w:abstractNumId w:val="3"/>
  </w:num>
  <w:num w:numId="6">
    <w:abstractNumId w:val="5"/>
  </w:num>
  <w:num w:numId="7">
    <w:abstractNumId w:val="0"/>
  </w:num>
  <w:num w:numId="8">
    <w:abstractNumId w:val="15"/>
  </w:num>
  <w:num w:numId="9">
    <w:abstractNumId w:val="11"/>
  </w:num>
  <w:num w:numId="10">
    <w:abstractNumId w:val="12"/>
  </w:num>
  <w:num w:numId="11">
    <w:abstractNumId w:val="10"/>
  </w:num>
  <w:num w:numId="12">
    <w:abstractNumId w:val="8"/>
  </w:num>
  <w:num w:numId="13">
    <w:abstractNumId w:val="1"/>
  </w:num>
  <w:num w:numId="14">
    <w:abstractNumId w:val="7"/>
  </w:num>
  <w:num w:numId="15">
    <w:abstractNumId w:val="16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8F"/>
    <w:rsid w:val="00160AE9"/>
    <w:rsid w:val="001D697C"/>
    <w:rsid w:val="006A3593"/>
    <w:rsid w:val="007F2177"/>
    <w:rsid w:val="009A1168"/>
    <w:rsid w:val="009A7BF5"/>
    <w:rsid w:val="00B4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C0A8D-4830-42FA-9345-129715AB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D6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D69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69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69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69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D69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retext">
    <w:name w:val="pretext"/>
    <w:basedOn w:val="Normln"/>
    <w:rsid w:val="001D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D697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D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697C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69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69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2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n.ch" TargetMode="External"/><Relationship Id="rId13" Type="http://schemas.openxmlformats.org/officeDocument/2006/relationships/hyperlink" Target="http://www.cnna.cz/docs/aktuality/efn_zprava_zasedani_97_2012.pdf" TargetMode="External"/><Relationship Id="rId18" Type="http://schemas.openxmlformats.org/officeDocument/2006/relationships/hyperlink" Target="http://www.cnna.cz/docs/akce/zprava_bukurest_2010_1.pdf" TargetMode="External"/><Relationship Id="rId26" Type="http://schemas.openxmlformats.org/officeDocument/2006/relationships/hyperlink" Target="mailto:veronika.dicara@gmail.com" TargetMode="External"/><Relationship Id="rId39" Type="http://schemas.openxmlformats.org/officeDocument/2006/relationships/hyperlink" Target="http://www.esgena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nna.cz/docs/tiskoviny/efn_implamentace_smernice_2015.pdf" TargetMode="External"/><Relationship Id="rId34" Type="http://schemas.openxmlformats.org/officeDocument/2006/relationships/hyperlink" Target="http://www.edtna-erca.org" TargetMode="External"/><Relationship Id="rId42" Type="http://schemas.openxmlformats.org/officeDocument/2006/relationships/hyperlink" Target="mailto:network.manager@thematicnetworkdietetics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cnna.cz/icn-nabidka-poptavka/" TargetMode="External"/><Relationship Id="rId12" Type="http://schemas.openxmlformats.org/officeDocument/2006/relationships/hyperlink" Target="http://www.cnna.cz/docs/aktuality/efn_zprava_zasedani_100_2014.pdf" TargetMode="External"/><Relationship Id="rId17" Type="http://schemas.openxmlformats.org/officeDocument/2006/relationships/hyperlink" Target="http://www.cnna.cz/docs/akce/zprava_leuven_2010_2.pdf" TargetMode="External"/><Relationship Id="rId25" Type="http://schemas.openxmlformats.org/officeDocument/2006/relationships/hyperlink" Target="http://www.efnweb.org" TargetMode="External"/><Relationship Id="rId33" Type="http://schemas.openxmlformats.org/officeDocument/2006/relationships/hyperlink" Target="mailto:pancirova@volny.cz" TargetMode="External"/><Relationship Id="rId38" Type="http://schemas.openxmlformats.org/officeDocument/2006/relationships/hyperlink" Target="http://www.horatio-web.eu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nna.cz/docs/akce/zprava_brusel_2010_3.pdf" TargetMode="External"/><Relationship Id="rId20" Type="http://schemas.openxmlformats.org/officeDocument/2006/relationships/hyperlink" Target="http://www.cnna.cz/docs/akce/zprava_stockholm_2009_1.pdf" TargetMode="External"/><Relationship Id="rId29" Type="http://schemas.openxmlformats.org/officeDocument/2006/relationships/hyperlink" Target="http://www.cnna.cz/docs/aktuality/zprava_eons_amsterdam_2013.pdf" TargetMode="External"/><Relationship Id="rId41" Type="http://schemas.openxmlformats.org/officeDocument/2006/relationships/hyperlink" Target="http://www.efad.e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nna.cz/icn-eticky-kodex/" TargetMode="External"/><Relationship Id="rId11" Type="http://schemas.openxmlformats.org/officeDocument/2006/relationships/hyperlink" Target="http://www.cnna.cz/docs/akce/efn_zprava_zasedani_101_2014.pdf" TargetMode="External"/><Relationship Id="rId24" Type="http://schemas.openxmlformats.org/officeDocument/2006/relationships/hyperlink" Target="http://www.cnna.cz/docs/tiskoviny/dopis_clenove_efn_2009_1.pdf" TargetMode="External"/><Relationship Id="rId32" Type="http://schemas.openxmlformats.org/officeDocument/2006/relationships/hyperlink" Target="http://www.cancerworld.org/cancerworld/home.aspx?id_sito=2&amp;id_stato=1" TargetMode="External"/><Relationship Id="rId37" Type="http://schemas.openxmlformats.org/officeDocument/2006/relationships/hyperlink" Target="http://www.acendio.net" TargetMode="External"/><Relationship Id="rId40" Type="http://schemas.openxmlformats.org/officeDocument/2006/relationships/hyperlink" Target="mailto:secretariat@efad.org" TargetMode="External"/><Relationship Id="rId45" Type="http://schemas.openxmlformats.org/officeDocument/2006/relationships/hyperlink" Target="http://www.cnna.cz/sekce-a-regiony/16/" TargetMode="External"/><Relationship Id="rId5" Type="http://schemas.openxmlformats.org/officeDocument/2006/relationships/hyperlink" Target="http://www.cnna.cz/docs/tiskoviny/balicek_icn_2012.pdf" TargetMode="External"/><Relationship Id="rId15" Type="http://schemas.openxmlformats.org/officeDocument/2006/relationships/hyperlink" Target="http://www.cnna.cz/docs/akce/zprava_reykjavik_2011_1.pdf" TargetMode="External"/><Relationship Id="rId23" Type="http://schemas.openxmlformats.org/officeDocument/2006/relationships/hyperlink" Target="http://www.cnna.cz/docs/tiskoviny/efn_zprava_osetrovatelske_profese_cr_2013.pdf" TargetMode="External"/><Relationship Id="rId28" Type="http://schemas.openxmlformats.org/officeDocument/2006/relationships/hyperlink" Target="http://www.cnna.cz/docs/aktuality/zprava_eons_london_2014.pdf" TargetMode="External"/><Relationship Id="rId36" Type="http://schemas.openxmlformats.org/officeDocument/2006/relationships/hyperlink" Target="http://www.edtna-erca.org" TargetMode="External"/><Relationship Id="rId10" Type="http://schemas.openxmlformats.org/officeDocument/2006/relationships/hyperlink" Target="http://onlinelibrary.wiley.com/journal/10.1111/%28ISSN%291466-7657" TargetMode="External"/><Relationship Id="rId19" Type="http://schemas.openxmlformats.org/officeDocument/2006/relationships/hyperlink" Target="http://www.cnna.cz/docs/akce/zprava_stockholm_2009_2.pdf" TargetMode="External"/><Relationship Id="rId31" Type="http://schemas.openxmlformats.org/officeDocument/2006/relationships/hyperlink" Target="http://www.cnna.cz/docs/tiskoviny/eons_newsletter_2013_10.pdf" TargetMode="External"/><Relationship Id="rId44" Type="http://schemas.openxmlformats.org/officeDocument/2006/relationships/hyperlink" Target="http://www.cnna.cz/docs/sekce/newsletter10_diet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n.ch" TargetMode="External"/><Relationship Id="rId14" Type="http://schemas.openxmlformats.org/officeDocument/2006/relationships/hyperlink" Target="http://www.cnna.cz/docs/akce/zprava_varsava_2011_2.pdf" TargetMode="External"/><Relationship Id="rId22" Type="http://schemas.openxmlformats.org/officeDocument/2006/relationships/hyperlink" Target="http://www.cnna.cz/docs/tiskoviny/efn_zprava_osetrovatelske_profese_2013.pdf" TargetMode="External"/><Relationship Id="rId27" Type="http://schemas.openxmlformats.org/officeDocument/2006/relationships/hyperlink" Target="http://www.cnna.cz/docs/aktuality/zprava_eons_budapest_2014.pdf" TargetMode="External"/><Relationship Id="rId30" Type="http://schemas.openxmlformats.org/officeDocument/2006/relationships/hyperlink" Target="http://www.cnna.cz/docs/aktuality/zprava_eons_ljubljan_2012.pdf" TargetMode="External"/><Relationship Id="rId35" Type="http://schemas.openxmlformats.org/officeDocument/2006/relationships/hyperlink" Target="mailto:edtna_erca@compuserve.com" TargetMode="External"/><Relationship Id="rId43" Type="http://schemas.openxmlformats.org/officeDocument/2006/relationships/hyperlink" Target="http://www.thematicnetworkdietetics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3564</Words>
  <Characters>21032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1.LF</Company>
  <LinksUpToDate>false</LinksUpToDate>
  <CharactersWithSpaces>24547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2015-11-04T12:28:00Z</dcterms:created>
  <dcterms:modified xsi:type="dcterms:W3CDTF">2015-11-04T12:28:00Z</dcterms:modified>
</cp:coreProperties>
</file>