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62" w:rsidRPr="00D27A62" w:rsidRDefault="00D27A62" w:rsidP="006C2B47">
      <w:pPr>
        <w:jc w:val="both"/>
        <w:rPr>
          <w:rStyle w:val="hps"/>
          <w:b/>
          <w:lang w:val="en-US"/>
        </w:rPr>
      </w:pPr>
      <w:r w:rsidRPr="00D27A62">
        <w:rPr>
          <w:rStyle w:val="hps"/>
          <w:b/>
          <w:lang w:val="en-US"/>
        </w:rPr>
        <w:t>Comparative Constitutional Law</w:t>
      </w:r>
    </w:p>
    <w:p w:rsidR="00347E34" w:rsidRDefault="00347E34" w:rsidP="006C2B47">
      <w:pPr>
        <w:jc w:val="both"/>
        <w:rPr>
          <w:rStyle w:val="hps"/>
          <w:u w:val="single"/>
          <w:lang w:val="en-US"/>
        </w:rPr>
      </w:pPr>
    </w:p>
    <w:p w:rsidR="00347E34" w:rsidRDefault="00347E34" w:rsidP="006C2B47">
      <w:pPr>
        <w:jc w:val="both"/>
        <w:rPr>
          <w:rStyle w:val="hps"/>
          <w:lang w:val="en-US"/>
        </w:rPr>
      </w:pPr>
      <w:r>
        <w:rPr>
          <w:rStyle w:val="hps"/>
          <w:u w:val="single"/>
          <w:lang w:val="en-US"/>
        </w:rPr>
        <w:t>Lecturer:</w:t>
      </w:r>
      <w:r w:rsidRPr="00347E34">
        <w:rPr>
          <w:rStyle w:val="hps"/>
          <w:lang w:val="en-US"/>
        </w:rPr>
        <w:t xml:space="preserve"> </w:t>
      </w:r>
    </w:p>
    <w:p w:rsidR="00347E34" w:rsidRPr="008E7D2E" w:rsidRDefault="008A3536" w:rsidP="006C2B47">
      <w:pPr>
        <w:jc w:val="both"/>
        <w:rPr>
          <w:rStyle w:val="hps"/>
          <w:lang w:val="pl-PL"/>
        </w:rPr>
      </w:pPr>
      <w:proofErr w:type="gramStart"/>
      <w:r>
        <w:rPr>
          <w:rStyle w:val="hps"/>
          <w:lang w:val="en-US"/>
        </w:rPr>
        <w:t>JUDr.</w:t>
      </w:r>
      <w:proofErr w:type="gramEnd"/>
      <w:r>
        <w:rPr>
          <w:rStyle w:val="hps"/>
          <w:lang w:val="en-US"/>
        </w:rPr>
        <w:t xml:space="preserve"> PhDr. </w:t>
      </w:r>
      <w:r w:rsidR="00347E34" w:rsidRPr="008E7D2E">
        <w:rPr>
          <w:rStyle w:val="hps"/>
          <w:lang w:val="pl-PL"/>
        </w:rPr>
        <w:t>Marek Antoš</w:t>
      </w:r>
      <w:r w:rsidRPr="008E7D2E">
        <w:rPr>
          <w:rStyle w:val="hps"/>
          <w:lang w:val="pl-PL"/>
        </w:rPr>
        <w:t>, LL.M., Ph.D.</w:t>
      </w:r>
    </w:p>
    <w:p w:rsidR="00D27A62" w:rsidRPr="008E7D2E" w:rsidRDefault="008E7D2E" w:rsidP="006C2B47">
      <w:pPr>
        <w:jc w:val="both"/>
        <w:rPr>
          <w:rStyle w:val="hps"/>
          <w:u w:val="single"/>
          <w:lang w:val="pl-PL"/>
        </w:rPr>
      </w:pPr>
      <w:hyperlink r:id="rId6" w:history="1">
        <w:r w:rsidR="00347E34" w:rsidRPr="008E7D2E">
          <w:rPr>
            <w:rStyle w:val="Hypertextovodkaz"/>
            <w:lang w:val="pl-PL"/>
          </w:rPr>
          <w:t>antos@prf.cuni.cz</w:t>
        </w:r>
      </w:hyperlink>
    </w:p>
    <w:p w:rsidR="00347E34" w:rsidRPr="008E7D2E" w:rsidRDefault="00347E34" w:rsidP="006C2B47">
      <w:pPr>
        <w:jc w:val="both"/>
        <w:rPr>
          <w:rStyle w:val="hps"/>
          <w:u w:val="single"/>
          <w:lang w:val="pl-PL"/>
        </w:rPr>
      </w:pPr>
    </w:p>
    <w:p w:rsidR="00D27A62" w:rsidRPr="008E7D2E" w:rsidRDefault="008D5486" w:rsidP="006C2B47">
      <w:pPr>
        <w:jc w:val="both"/>
        <w:rPr>
          <w:rStyle w:val="hps"/>
          <w:u w:val="single"/>
          <w:lang w:val="pl-PL"/>
        </w:rPr>
      </w:pPr>
      <w:r w:rsidRPr="008E7D2E">
        <w:rPr>
          <w:rStyle w:val="hps"/>
          <w:u w:val="single"/>
          <w:lang w:val="pl-PL"/>
        </w:rPr>
        <w:t>Summary:</w:t>
      </w:r>
    </w:p>
    <w:p w:rsidR="00535C74" w:rsidRDefault="00535C74" w:rsidP="006C2B47">
      <w:pPr>
        <w:jc w:val="both"/>
        <w:rPr>
          <w:lang w:val="en-US"/>
        </w:rPr>
      </w:pPr>
      <w:r w:rsidRPr="00AC32EB">
        <w:rPr>
          <w:rStyle w:val="hps"/>
          <w:lang w:val="en-US"/>
        </w:rPr>
        <w:t>The course</w:t>
      </w:r>
      <w:r w:rsidRPr="00AC32EB">
        <w:rPr>
          <w:lang w:val="en-US"/>
        </w:rPr>
        <w:t xml:space="preserve"> </w:t>
      </w:r>
      <w:r w:rsidRPr="00AC32EB">
        <w:rPr>
          <w:rStyle w:val="hps"/>
          <w:lang w:val="en-US"/>
        </w:rPr>
        <w:t>is dedicated to</w:t>
      </w:r>
      <w:r w:rsidRPr="00AC32EB">
        <w:rPr>
          <w:lang w:val="en-US"/>
        </w:rPr>
        <w:t xml:space="preserve"> </w:t>
      </w:r>
      <w:r w:rsidRPr="00AC32EB">
        <w:rPr>
          <w:rStyle w:val="hps"/>
          <w:lang w:val="en-US"/>
        </w:rPr>
        <w:t>the most important</w:t>
      </w:r>
      <w:r w:rsidRPr="00AC32EB">
        <w:rPr>
          <w:lang w:val="en-US"/>
        </w:rPr>
        <w:t xml:space="preserve"> </w:t>
      </w:r>
      <w:r w:rsidR="00B502F8">
        <w:rPr>
          <w:rStyle w:val="hps"/>
          <w:lang w:val="en-US"/>
        </w:rPr>
        <w:t xml:space="preserve">institutions </w:t>
      </w:r>
      <w:r w:rsidR="008E7D2E">
        <w:t>('</w:t>
      </w:r>
      <w:proofErr w:type="spellStart"/>
      <w:r w:rsidR="008E7D2E">
        <w:t>Rechtsinstitut</w:t>
      </w:r>
      <w:proofErr w:type="spellEnd"/>
      <w:r w:rsidR="008E7D2E">
        <w:t>')</w:t>
      </w:r>
      <w:r w:rsidR="008E7D2E">
        <w:t xml:space="preserve"> </w:t>
      </w:r>
      <w:r w:rsidRPr="00AC32EB">
        <w:rPr>
          <w:rStyle w:val="hps"/>
          <w:lang w:val="en-US"/>
        </w:rPr>
        <w:t>of constitutional</w:t>
      </w:r>
      <w:r w:rsidRPr="00AC32EB">
        <w:rPr>
          <w:lang w:val="en-US"/>
        </w:rPr>
        <w:t xml:space="preserve"> </w:t>
      </w:r>
      <w:r w:rsidRPr="00AC32EB">
        <w:rPr>
          <w:rStyle w:val="hps"/>
          <w:lang w:val="en-US"/>
        </w:rPr>
        <w:t>law</w:t>
      </w:r>
      <w:r w:rsidRPr="00AC32EB">
        <w:rPr>
          <w:lang w:val="en-US"/>
        </w:rPr>
        <w:t xml:space="preserve"> </w:t>
      </w:r>
      <w:r w:rsidRPr="00AC32EB">
        <w:rPr>
          <w:rStyle w:val="hps"/>
          <w:lang w:val="en-US"/>
        </w:rPr>
        <w:t>which are discussed</w:t>
      </w:r>
      <w:r w:rsidRPr="00AC32EB">
        <w:rPr>
          <w:lang w:val="en-US"/>
        </w:rPr>
        <w:t xml:space="preserve"> </w:t>
      </w:r>
      <w:r w:rsidRPr="00AC32EB">
        <w:rPr>
          <w:rStyle w:val="hps"/>
          <w:lang w:val="en-US"/>
        </w:rPr>
        <w:t xml:space="preserve">in </w:t>
      </w:r>
      <w:r w:rsidR="00B502F8">
        <w:rPr>
          <w:rStyle w:val="hps"/>
          <w:lang w:val="en-US"/>
        </w:rPr>
        <w:t xml:space="preserve">comparative </w:t>
      </w:r>
      <w:r w:rsidRPr="00AC32EB">
        <w:rPr>
          <w:rStyle w:val="hps"/>
          <w:lang w:val="en-US"/>
        </w:rPr>
        <w:t>perspective</w:t>
      </w:r>
      <w:r w:rsidR="00DD203B">
        <w:rPr>
          <w:lang w:val="en-US"/>
        </w:rPr>
        <w:t>. Its aim</w:t>
      </w:r>
      <w:r w:rsidRPr="00AC32EB">
        <w:rPr>
          <w:lang w:val="en-US"/>
        </w:rPr>
        <w:t xml:space="preserve"> </w:t>
      </w:r>
      <w:r w:rsidR="00DD203B">
        <w:rPr>
          <w:lang w:val="en-US"/>
        </w:rPr>
        <w:t xml:space="preserve">is </w:t>
      </w:r>
      <w:r w:rsidRPr="00AC32EB">
        <w:rPr>
          <w:lang w:val="en-US"/>
        </w:rPr>
        <w:t>to support conta</w:t>
      </w:r>
      <w:bookmarkStart w:id="0" w:name="_GoBack"/>
      <w:bookmarkEnd w:id="0"/>
      <w:r w:rsidRPr="00AC32EB">
        <w:rPr>
          <w:lang w:val="en-US"/>
        </w:rPr>
        <w:t>cts and cooperation between Erasmus and Czech students</w:t>
      </w:r>
      <w:r w:rsidR="00AC32EB" w:rsidRPr="00AC32EB">
        <w:rPr>
          <w:lang w:val="en-US"/>
        </w:rPr>
        <w:t xml:space="preserve"> who</w:t>
      </w:r>
      <w:r w:rsidR="00AC32EB">
        <w:rPr>
          <w:lang w:val="en-US"/>
        </w:rPr>
        <w:t xml:space="preserve"> </w:t>
      </w:r>
      <w:r w:rsidR="00AC32EB" w:rsidRPr="00AC32EB">
        <w:rPr>
          <w:lang w:val="en-US"/>
        </w:rPr>
        <w:t>are enrolled on parity</w:t>
      </w:r>
      <w:r w:rsidR="00DD203B">
        <w:rPr>
          <w:lang w:val="en-US"/>
        </w:rPr>
        <w:t>. Therefore</w:t>
      </w:r>
      <w:r w:rsidR="00D27A62">
        <w:rPr>
          <w:lang w:val="en-US"/>
        </w:rPr>
        <w:t xml:space="preserve"> </w:t>
      </w:r>
      <w:r w:rsidR="00AC32EB">
        <w:rPr>
          <w:lang w:val="en-US"/>
        </w:rPr>
        <w:t xml:space="preserve">also the capacity for Erasmus students is </w:t>
      </w:r>
      <w:r w:rsidR="00B502F8">
        <w:rPr>
          <w:lang w:val="en-US"/>
        </w:rPr>
        <w:t>restricted</w:t>
      </w:r>
      <w:r w:rsidR="00AC32EB">
        <w:rPr>
          <w:lang w:val="en-US"/>
        </w:rPr>
        <w:t xml:space="preserve"> to 15 participants</w:t>
      </w:r>
      <w:r w:rsidR="00AC32EB" w:rsidRPr="00AC32EB">
        <w:rPr>
          <w:lang w:val="en-US"/>
        </w:rPr>
        <w:t>.</w:t>
      </w:r>
      <w:r w:rsidRPr="00AC32EB">
        <w:rPr>
          <w:lang w:val="en-US"/>
        </w:rPr>
        <w:t xml:space="preserve"> </w:t>
      </w:r>
      <w:r w:rsidR="00DD203B">
        <w:rPr>
          <w:rStyle w:val="hps"/>
          <w:lang w:val="en-US"/>
        </w:rPr>
        <w:t xml:space="preserve">Drawing </w:t>
      </w:r>
      <w:r w:rsidR="00AC32EB" w:rsidRPr="00AC32EB">
        <w:rPr>
          <w:rStyle w:val="hps"/>
          <w:lang w:val="en-US"/>
        </w:rPr>
        <w:t xml:space="preserve">on </w:t>
      </w:r>
      <w:r w:rsidR="00DD203B">
        <w:rPr>
          <w:rStyle w:val="hps"/>
          <w:lang w:val="en-US"/>
        </w:rPr>
        <w:t xml:space="preserve">wide </w:t>
      </w:r>
      <w:r w:rsidRPr="00AC32EB">
        <w:rPr>
          <w:rStyle w:val="hps"/>
          <w:lang w:val="en-US"/>
        </w:rPr>
        <w:t>legal</w:t>
      </w:r>
      <w:r w:rsidRPr="00AC32EB">
        <w:rPr>
          <w:lang w:val="en-US"/>
        </w:rPr>
        <w:t xml:space="preserve"> </w:t>
      </w:r>
      <w:r w:rsidRPr="00AC32EB">
        <w:rPr>
          <w:rStyle w:val="hps"/>
          <w:lang w:val="en-US"/>
        </w:rPr>
        <w:t>and linguistic</w:t>
      </w:r>
      <w:r w:rsidRPr="00AC32EB">
        <w:rPr>
          <w:lang w:val="en-US"/>
        </w:rPr>
        <w:t xml:space="preserve"> </w:t>
      </w:r>
      <w:r w:rsidRPr="00AC32EB">
        <w:rPr>
          <w:rStyle w:val="hps"/>
          <w:lang w:val="en-US"/>
        </w:rPr>
        <w:t xml:space="preserve">background </w:t>
      </w:r>
      <w:r w:rsidR="00AC32EB" w:rsidRPr="00AC32EB">
        <w:rPr>
          <w:rStyle w:val="hps"/>
          <w:lang w:val="en-US"/>
        </w:rPr>
        <w:t xml:space="preserve">of the students, </w:t>
      </w:r>
      <w:r w:rsidR="00AC32EB" w:rsidRPr="00AC32EB">
        <w:rPr>
          <w:lang w:val="en-US"/>
        </w:rPr>
        <w:t>t</w:t>
      </w:r>
      <w:r w:rsidRPr="00AC32EB">
        <w:rPr>
          <w:rStyle w:val="hps"/>
          <w:lang w:val="en-US"/>
        </w:rPr>
        <w:t xml:space="preserve">he </w:t>
      </w:r>
      <w:r w:rsidR="00AC32EB" w:rsidRPr="00AC32EB">
        <w:rPr>
          <w:rStyle w:val="hps"/>
          <w:lang w:val="en-US"/>
        </w:rPr>
        <w:t xml:space="preserve">course consists of a series of </w:t>
      </w:r>
      <w:r w:rsidRPr="00AC32EB">
        <w:rPr>
          <w:rStyle w:val="hps"/>
          <w:lang w:val="en-US"/>
        </w:rPr>
        <w:t>workshops</w:t>
      </w:r>
      <w:r w:rsidR="00AC32EB" w:rsidRPr="00AC32EB">
        <w:rPr>
          <w:rStyle w:val="hps"/>
          <w:lang w:val="en-US"/>
        </w:rPr>
        <w:t xml:space="preserve"> on specific </w:t>
      </w:r>
      <w:r w:rsidRPr="00AC32EB">
        <w:rPr>
          <w:rStyle w:val="hps"/>
          <w:lang w:val="en-US"/>
        </w:rPr>
        <w:t>constitutional</w:t>
      </w:r>
      <w:r w:rsidRPr="00AC32EB">
        <w:rPr>
          <w:lang w:val="en-US"/>
        </w:rPr>
        <w:t xml:space="preserve"> </w:t>
      </w:r>
      <w:r w:rsidR="00C009E8">
        <w:rPr>
          <w:rStyle w:val="hps"/>
          <w:lang w:val="en-US"/>
        </w:rPr>
        <w:t>institutions</w:t>
      </w:r>
      <w:r w:rsidR="00AC32EB" w:rsidRPr="00AC32EB">
        <w:rPr>
          <w:lang w:val="en-US"/>
        </w:rPr>
        <w:t xml:space="preserve"> </w:t>
      </w:r>
      <w:r w:rsidR="00C009E8">
        <w:rPr>
          <w:lang w:val="en-US"/>
        </w:rPr>
        <w:t xml:space="preserve">analyzed and </w:t>
      </w:r>
      <w:r w:rsidR="00AC32EB" w:rsidRPr="00AC32EB">
        <w:rPr>
          <w:lang w:val="en-US"/>
        </w:rPr>
        <w:t xml:space="preserve">presented by </w:t>
      </w:r>
      <w:r w:rsidR="00C009E8">
        <w:rPr>
          <w:lang w:val="en-US"/>
        </w:rPr>
        <w:t>group</w:t>
      </w:r>
      <w:r w:rsidR="00AC32EB" w:rsidRPr="00AC32EB">
        <w:rPr>
          <w:lang w:val="en-US"/>
        </w:rPr>
        <w:t>s of students</w:t>
      </w:r>
      <w:r w:rsidR="00AC32EB">
        <w:rPr>
          <w:lang w:val="en-US"/>
        </w:rPr>
        <w:t xml:space="preserve"> from various countries</w:t>
      </w:r>
      <w:r w:rsidRPr="00AC32EB">
        <w:rPr>
          <w:lang w:val="en-US"/>
        </w:rPr>
        <w:t>.</w:t>
      </w:r>
      <w:r w:rsidR="00D27A62">
        <w:rPr>
          <w:lang w:val="en-US"/>
        </w:rPr>
        <w:t xml:space="preserve"> Active participation and attendance of all participants is therefore essential and required.</w:t>
      </w:r>
    </w:p>
    <w:p w:rsidR="00D27A62" w:rsidRDefault="00D27A62" w:rsidP="006C2B47">
      <w:pPr>
        <w:jc w:val="both"/>
        <w:rPr>
          <w:lang w:val="en-US"/>
        </w:rPr>
      </w:pPr>
    </w:p>
    <w:p w:rsidR="008D5486" w:rsidRDefault="00D27A62" w:rsidP="006C2B47">
      <w:pPr>
        <w:jc w:val="both"/>
        <w:rPr>
          <w:rStyle w:val="hps"/>
          <w:lang w:val="en-US"/>
        </w:rPr>
      </w:pPr>
      <w:r w:rsidRPr="00D27A62">
        <w:rPr>
          <w:rStyle w:val="hps"/>
          <w:u w:val="single"/>
          <w:lang w:val="en-US"/>
        </w:rPr>
        <w:t>Course de</w:t>
      </w:r>
      <w:r>
        <w:rPr>
          <w:rStyle w:val="hps"/>
          <w:u w:val="single"/>
          <w:lang w:val="en-US"/>
        </w:rPr>
        <w:t>s</w:t>
      </w:r>
      <w:r w:rsidRPr="00D27A62">
        <w:rPr>
          <w:rStyle w:val="hps"/>
          <w:u w:val="single"/>
          <w:lang w:val="en-US"/>
        </w:rPr>
        <w:t>cription</w:t>
      </w:r>
      <w:r>
        <w:rPr>
          <w:rStyle w:val="hps"/>
          <w:lang w:val="en-US"/>
        </w:rPr>
        <w:t>:</w:t>
      </w:r>
    </w:p>
    <w:p w:rsidR="008D5486" w:rsidRDefault="008D5486" w:rsidP="00347E34">
      <w:pPr>
        <w:jc w:val="both"/>
        <w:rPr>
          <w:rStyle w:val="hps"/>
          <w:lang w:val="en-US"/>
        </w:rPr>
      </w:pPr>
      <w:r w:rsidRPr="00AC32EB">
        <w:rPr>
          <w:rStyle w:val="hps"/>
          <w:lang w:val="en-US"/>
        </w:rPr>
        <w:t>The</w:t>
      </w:r>
      <w:r>
        <w:rPr>
          <w:rStyle w:val="hps"/>
          <w:lang w:val="en-US"/>
        </w:rPr>
        <w:t xml:space="preserve"> first lesson is a brief introduction to the comparative law methodology and to the course requirements. Also the final list of topics </w:t>
      </w:r>
      <w:r w:rsidR="006C2B47">
        <w:rPr>
          <w:rStyle w:val="hps"/>
          <w:lang w:val="en-US"/>
        </w:rPr>
        <w:t xml:space="preserve">(constitutional institutions) </w:t>
      </w:r>
      <w:r>
        <w:rPr>
          <w:rStyle w:val="hps"/>
          <w:lang w:val="en-US"/>
        </w:rPr>
        <w:t xml:space="preserve">will be set here, </w:t>
      </w:r>
      <w:r w:rsidR="00C009E8">
        <w:rPr>
          <w:rStyle w:val="hps"/>
          <w:lang w:val="en-US"/>
        </w:rPr>
        <w:t xml:space="preserve">reflecting </w:t>
      </w:r>
      <w:r>
        <w:rPr>
          <w:rStyle w:val="hps"/>
          <w:lang w:val="en-US"/>
        </w:rPr>
        <w:t>preferences expressed by the students</w:t>
      </w:r>
      <w:r w:rsidR="00C009E8">
        <w:rPr>
          <w:rStyle w:val="hps"/>
          <w:lang w:val="en-US"/>
        </w:rPr>
        <w:t xml:space="preserve"> in class</w:t>
      </w:r>
      <w:r>
        <w:rPr>
          <w:rStyle w:val="hps"/>
          <w:lang w:val="en-US"/>
        </w:rPr>
        <w:t xml:space="preserve">. Once the schedule is set, </w:t>
      </w:r>
      <w:r w:rsidR="00C009E8">
        <w:rPr>
          <w:rStyle w:val="hps"/>
          <w:lang w:val="en-US"/>
        </w:rPr>
        <w:t xml:space="preserve">groups </w:t>
      </w:r>
      <w:r>
        <w:rPr>
          <w:rStyle w:val="hps"/>
          <w:lang w:val="en-US"/>
        </w:rPr>
        <w:t>of 5-6 students</w:t>
      </w:r>
      <w:r w:rsidR="006C2B47">
        <w:rPr>
          <w:rStyle w:val="hps"/>
          <w:lang w:val="en-US"/>
        </w:rPr>
        <w:t xml:space="preserve">, internationally composed, </w:t>
      </w:r>
      <w:r>
        <w:rPr>
          <w:rStyle w:val="hps"/>
          <w:lang w:val="en-US"/>
        </w:rPr>
        <w:t xml:space="preserve">will be formed and assigned </w:t>
      </w:r>
      <w:r w:rsidR="006C2B47">
        <w:rPr>
          <w:rStyle w:val="hps"/>
          <w:lang w:val="en-US"/>
        </w:rPr>
        <w:t xml:space="preserve">with </w:t>
      </w:r>
      <w:r>
        <w:rPr>
          <w:rStyle w:val="hps"/>
          <w:lang w:val="en-US"/>
        </w:rPr>
        <w:t xml:space="preserve">specific </w:t>
      </w:r>
      <w:r w:rsidR="006C2B47">
        <w:rPr>
          <w:rStyle w:val="hps"/>
          <w:lang w:val="en-US"/>
        </w:rPr>
        <w:t xml:space="preserve">topics </w:t>
      </w:r>
      <w:r>
        <w:rPr>
          <w:rStyle w:val="hps"/>
          <w:lang w:val="en-US"/>
        </w:rPr>
        <w:t>to prepare a comparative presentation.</w:t>
      </w:r>
      <w:r w:rsidR="006C2B47">
        <w:rPr>
          <w:rStyle w:val="hps"/>
          <w:lang w:val="en-US"/>
        </w:rPr>
        <w:t xml:space="preserve"> Each student is supposed to take part in two presentations throughout the course.</w:t>
      </w:r>
    </w:p>
    <w:p w:rsidR="003E259B" w:rsidRDefault="006C2B47" w:rsidP="00347E34">
      <w:pPr>
        <w:jc w:val="both"/>
        <w:rPr>
          <w:rStyle w:val="hps"/>
          <w:lang w:val="en-US"/>
        </w:rPr>
      </w:pPr>
      <w:r>
        <w:rPr>
          <w:rStyle w:val="hps"/>
          <w:lang w:val="en-US"/>
        </w:rPr>
        <w:t xml:space="preserve">The task of the presenting </w:t>
      </w:r>
      <w:r w:rsidR="00C009E8">
        <w:rPr>
          <w:rStyle w:val="hps"/>
          <w:lang w:val="en-US"/>
        </w:rPr>
        <w:t>group</w:t>
      </w:r>
      <w:r>
        <w:rPr>
          <w:rStyle w:val="hps"/>
          <w:lang w:val="en-US"/>
        </w:rPr>
        <w:t xml:space="preserve"> is to prepare a collective presentation (approx. 45 minutes) providing: a) </w:t>
      </w:r>
      <w:r w:rsidR="005A1B2F">
        <w:rPr>
          <w:rStyle w:val="hps"/>
          <w:lang w:val="en-US"/>
        </w:rPr>
        <w:t xml:space="preserve">a </w:t>
      </w:r>
      <w:r>
        <w:rPr>
          <w:rStyle w:val="hps"/>
          <w:lang w:val="en-US"/>
        </w:rPr>
        <w:t>short theoretical intro</w:t>
      </w:r>
      <w:r w:rsidR="00DD203B">
        <w:rPr>
          <w:rStyle w:val="hps"/>
          <w:lang w:val="en-US"/>
        </w:rPr>
        <w:t>duction of the institution; b)</w:t>
      </w:r>
      <w:r>
        <w:rPr>
          <w:rStyle w:val="hps"/>
          <w:lang w:val="en-US"/>
        </w:rPr>
        <w:t xml:space="preserve"> </w:t>
      </w:r>
      <w:r w:rsidR="00DD203B">
        <w:rPr>
          <w:rStyle w:val="hps"/>
          <w:lang w:val="en-US"/>
        </w:rPr>
        <w:t xml:space="preserve">a  </w:t>
      </w:r>
      <w:r>
        <w:rPr>
          <w:rStyle w:val="hps"/>
          <w:lang w:val="en-US"/>
        </w:rPr>
        <w:t>description how the institution is differently implemented in 4-5 countries; c) a comparison (</w:t>
      </w:r>
      <w:r w:rsidR="00034636" w:rsidRPr="00034636">
        <w:rPr>
          <w:rStyle w:val="hps"/>
          <w:lang w:val="en-US"/>
        </w:rPr>
        <w:t>preferably with an analysis how and why is the implementation different</w:t>
      </w:r>
      <w:r>
        <w:rPr>
          <w:rStyle w:val="hps"/>
          <w:lang w:val="en-US"/>
        </w:rPr>
        <w:t>).</w:t>
      </w:r>
      <w:r w:rsidR="005A1B2F">
        <w:rPr>
          <w:rStyle w:val="hps"/>
          <w:lang w:val="en-US"/>
        </w:rPr>
        <w:t xml:space="preserve"> </w:t>
      </w:r>
      <w:r w:rsidR="00E96ECF">
        <w:rPr>
          <w:rStyle w:val="hps"/>
          <w:lang w:val="en-US"/>
        </w:rPr>
        <w:t>One of the countries described shoul</w:t>
      </w:r>
      <w:r w:rsidR="005A1B2F">
        <w:rPr>
          <w:rStyle w:val="hps"/>
          <w:lang w:val="en-US"/>
        </w:rPr>
        <w:t xml:space="preserve">d always be the Czech Republic; </w:t>
      </w:r>
      <w:r w:rsidR="00E96ECF">
        <w:rPr>
          <w:rStyle w:val="hps"/>
          <w:lang w:val="en-US"/>
        </w:rPr>
        <w:t xml:space="preserve">the rest of the selection </w:t>
      </w:r>
      <w:r w:rsidR="005A1B2F">
        <w:rPr>
          <w:rStyle w:val="hps"/>
          <w:lang w:val="en-US"/>
        </w:rPr>
        <w:t xml:space="preserve">is up to the </w:t>
      </w:r>
      <w:r w:rsidR="00C009E8">
        <w:rPr>
          <w:rStyle w:val="hps"/>
          <w:lang w:val="en-US"/>
        </w:rPr>
        <w:t>group</w:t>
      </w:r>
      <w:r w:rsidR="005A1B2F">
        <w:rPr>
          <w:rStyle w:val="hps"/>
          <w:lang w:val="en-US"/>
        </w:rPr>
        <w:t xml:space="preserve">, as long as different approaches to the institution are represented. The second half of each </w:t>
      </w:r>
      <w:r w:rsidR="00DD203B">
        <w:rPr>
          <w:rStyle w:val="hps"/>
          <w:lang w:val="en-US"/>
        </w:rPr>
        <w:t>lesson</w:t>
      </w:r>
      <w:r w:rsidR="005A1B2F">
        <w:rPr>
          <w:rStyle w:val="hps"/>
          <w:lang w:val="en-US"/>
        </w:rPr>
        <w:t xml:space="preserve"> is reserved for general discussion and reflection of the presentation by other students. In order to allow them to prepare in advance, the presenting </w:t>
      </w:r>
      <w:r w:rsidR="00C009E8">
        <w:rPr>
          <w:rStyle w:val="hps"/>
          <w:lang w:val="en-US"/>
        </w:rPr>
        <w:t>group</w:t>
      </w:r>
      <w:r w:rsidR="005A1B2F">
        <w:rPr>
          <w:rStyle w:val="hps"/>
          <w:lang w:val="en-US"/>
        </w:rPr>
        <w:t xml:space="preserve"> is expected to prepare a written handout (either in form of a </w:t>
      </w:r>
      <w:proofErr w:type="spellStart"/>
      <w:r w:rsidR="005A1B2F">
        <w:rPr>
          <w:rStyle w:val="hps"/>
          <w:lang w:val="en-US"/>
        </w:rPr>
        <w:t>Powerpoint</w:t>
      </w:r>
      <w:proofErr w:type="spellEnd"/>
      <w:r w:rsidR="005A1B2F">
        <w:rPr>
          <w:rStyle w:val="hps"/>
          <w:lang w:val="en-US"/>
        </w:rPr>
        <w:t xml:space="preserve"> presentation or a text in PDF) which will be distributed to all course participants in advance.</w:t>
      </w:r>
      <w:r w:rsidR="00C009E8">
        <w:rPr>
          <w:rStyle w:val="hps"/>
          <w:lang w:val="en-US"/>
        </w:rPr>
        <w:t xml:space="preserve"> References to relevant legal sources, court cases and literature are warmly recommended.</w:t>
      </w:r>
    </w:p>
    <w:p w:rsidR="00A874D3" w:rsidRDefault="00A874D3" w:rsidP="003E259B">
      <w:pPr>
        <w:jc w:val="both"/>
        <w:rPr>
          <w:rStyle w:val="hps"/>
          <w:u w:val="single"/>
          <w:lang w:val="en-US"/>
        </w:rPr>
      </w:pPr>
    </w:p>
    <w:p w:rsidR="003E259B" w:rsidRDefault="003E259B" w:rsidP="003E259B">
      <w:pPr>
        <w:jc w:val="both"/>
        <w:rPr>
          <w:rStyle w:val="hps"/>
          <w:lang w:val="en-US"/>
        </w:rPr>
      </w:pPr>
      <w:r>
        <w:rPr>
          <w:rStyle w:val="hps"/>
          <w:u w:val="single"/>
          <w:lang w:val="en-US"/>
        </w:rPr>
        <w:t>Preliminary list of topics</w:t>
      </w:r>
      <w:r>
        <w:rPr>
          <w:rStyle w:val="hps"/>
          <w:lang w:val="en-US"/>
        </w:rPr>
        <w:t>:</w:t>
      </w:r>
    </w:p>
    <w:p w:rsidR="003E259B" w:rsidRDefault="003E259B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 xml:space="preserve">constitutional status </w:t>
      </w:r>
      <w:r w:rsidR="00C009E8">
        <w:rPr>
          <w:rStyle w:val="hps"/>
          <w:lang w:val="en-US"/>
        </w:rPr>
        <w:t xml:space="preserve">and powers </w:t>
      </w:r>
      <w:r>
        <w:rPr>
          <w:rStyle w:val="hps"/>
          <w:lang w:val="en-US"/>
        </w:rPr>
        <w:t>of the head of state</w:t>
      </w:r>
    </w:p>
    <w:p w:rsidR="003E259B" w:rsidRDefault="003E259B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>rules of the legislative procedure</w:t>
      </w:r>
    </w:p>
    <w:p w:rsidR="003E259B" w:rsidRDefault="003E259B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>supervisory powers of parliament</w:t>
      </w:r>
    </w:p>
    <w:p w:rsidR="003E259B" w:rsidRDefault="003E259B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>parliamentary minority rights</w:t>
      </w:r>
    </w:p>
    <w:p w:rsidR="003E259B" w:rsidRDefault="003E259B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>courts administration</w:t>
      </w:r>
    </w:p>
    <w:p w:rsidR="003E259B" w:rsidRDefault="003E259B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>constitutional amendment process</w:t>
      </w:r>
    </w:p>
    <w:p w:rsidR="003E259B" w:rsidRDefault="003E259B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lastRenderedPageBreak/>
        <w:t>models of judicial review of laws</w:t>
      </w:r>
    </w:p>
    <w:p w:rsidR="003E259B" w:rsidRDefault="00A874D3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>second chambers of parliament</w:t>
      </w:r>
    </w:p>
    <w:p w:rsidR="00A874D3" w:rsidRDefault="00A874D3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>relationship between the government and parliament</w:t>
      </w:r>
    </w:p>
    <w:p w:rsidR="00A874D3" w:rsidRDefault="00A874D3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>models of federalism</w:t>
      </w:r>
    </w:p>
    <w:p w:rsidR="00A874D3" w:rsidRDefault="00A874D3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>constitutions and international (and European) law</w:t>
      </w:r>
    </w:p>
    <w:p w:rsidR="00A874D3" w:rsidRDefault="00A874D3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>budgetary powers of parliaments and their limits (e.g. “debt brakes”)</w:t>
      </w:r>
    </w:p>
    <w:p w:rsidR="00A874D3" w:rsidRDefault="00A874D3" w:rsidP="003E259B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>forms of direct democracy</w:t>
      </w:r>
    </w:p>
    <w:p w:rsidR="00A874D3" w:rsidRDefault="00A874D3" w:rsidP="00A874D3">
      <w:pPr>
        <w:pStyle w:val="Odstavecseseznamem"/>
        <w:numPr>
          <w:ilvl w:val="0"/>
          <w:numId w:val="3"/>
        </w:numPr>
        <w:jc w:val="both"/>
        <w:rPr>
          <w:rStyle w:val="hps"/>
          <w:lang w:val="en-US"/>
        </w:rPr>
      </w:pPr>
      <w:r>
        <w:rPr>
          <w:rStyle w:val="hps"/>
          <w:lang w:val="en-US"/>
        </w:rPr>
        <w:t xml:space="preserve">parliamentary immunity </w:t>
      </w:r>
    </w:p>
    <w:p w:rsidR="008D5486" w:rsidRPr="00A874D3" w:rsidRDefault="00A874D3" w:rsidP="00A874D3">
      <w:pPr>
        <w:pStyle w:val="Odstavecseseznamem"/>
        <w:numPr>
          <w:ilvl w:val="0"/>
          <w:numId w:val="3"/>
        </w:numPr>
        <w:jc w:val="both"/>
        <w:rPr>
          <w:lang w:val="en-US"/>
        </w:rPr>
      </w:pPr>
      <w:r>
        <w:rPr>
          <w:rStyle w:val="hps"/>
          <w:lang w:val="en-US"/>
        </w:rPr>
        <w:t>funding of political parties and election campaigns</w:t>
      </w:r>
    </w:p>
    <w:p w:rsidR="00A874D3" w:rsidRPr="00347E34" w:rsidRDefault="00347E34" w:rsidP="006C2B47">
      <w:p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874D3" w:rsidRPr="00A874D3">
        <w:rPr>
          <w:rStyle w:val="hps"/>
          <w:u w:val="single"/>
          <w:lang w:val="en-US"/>
        </w:rPr>
        <w:t>Basic reference literature</w:t>
      </w:r>
      <w:r w:rsidR="00A874D3">
        <w:rPr>
          <w:rStyle w:val="hps"/>
          <w:u w:val="single"/>
          <w:lang w:val="en-US"/>
        </w:rPr>
        <w:t xml:space="preserve"> (available in the faculty library)</w:t>
      </w:r>
      <w:r w:rsidR="00A874D3" w:rsidRPr="00A874D3">
        <w:rPr>
          <w:rStyle w:val="hps"/>
          <w:u w:val="single"/>
          <w:lang w:val="en-US"/>
        </w:rPr>
        <w:t>:</w:t>
      </w:r>
    </w:p>
    <w:p w:rsidR="008D5486" w:rsidRPr="00B502F8" w:rsidRDefault="008D5486" w:rsidP="00B502F8">
      <w:pPr>
        <w:jc w:val="both"/>
        <w:rPr>
          <w:rFonts w:eastAsia="Times New Roman" w:cs="Times New Roman"/>
          <w:lang w:val="en-US" w:eastAsia="cs-CZ"/>
        </w:rPr>
      </w:pPr>
      <w:r w:rsidRPr="00B502F8">
        <w:rPr>
          <w:rFonts w:eastAsia="Times New Roman" w:cs="Times New Roman"/>
          <w:lang w:val="en-US" w:eastAsia="cs-CZ"/>
        </w:rPr>
        <w:t xml:space="preserve">Rosenfeld and </w:t>
      </w:r>
      <w:proofErr w:type="spellStart"/>
      <w:r w:rsidRPr="00B502F8">
        <w:rPr>
          <w:rFonts w:eastAsia="Times New Roman" w:cs="Times New Roman"/>
          <w:lang w:val="en-US" w:eastAsia="cs-CZ"/>
        </w:rPr>
        <w:t>Sajó</w:t>
      </w:r>
      <w:proofErr w:type="spellEnd"/>
      <w:r w:rsidRPr="00B502F8">
        <w:rPr>
          <w:rFonts w:eastAsia="Times New Roman" w:cs="Times New Roman"/>
          <w:lang w:val="en-US" w:eastAsia="cs-CZ"/>
        </w:rPr>
        <w:t xml:space="preserve"> (ed.): </w:t>
      </w:r>
      <w:r w:rsidRPr="00B502F8">
        <w:rPr>
          <w:rFonts w:eastAsia="Times New Roman" w:cs="Times New Roman"/>
          <w:i/>
          <w:lang w:val="en-US" w:eastAsia="cs-CZ"/>
        </w:rPr>
        <w:t>The Oxford Handbook of Comparative Constitutional Law</w:t>
      </w:r>
      <w:r w:rsidRPr="00B502F8">
        <w:rPr>
          <w:rFonts w:eastAsia="Times New Roman" w:cs="Times New Roman"/>
          <w:lang w:val="en-US" w:eastAsia="cs-CZ"/>
        </w:rPr>
        <w:t>. Oxford: Oxford University Press, 2012.</w:t>
      </w:r>
    </w:p>
    <w:p w:rsidR="008D5486" w:rsidRPr="00B502F8" w:rsidRDefault="008D5486" w:rsidP="00B502F8">
      <w:pPr>
        <w:jc w:val="both"/>
        <w:rPr>
          <w:rFonts w:eastAsia="Times New Roman" w:cs="Times New Roman"/>
          <w:lang w:val="en-US" w:eastAsia="cs-CZ"/>
        </w:rPr>
      </w:pPr>
      <w:proofErr w:type="spellStart"/>
      <w:r w:rsidRPr="00B502F8">
        <w:rPr>
          <w:rFonts w:eastAsia="Times New Roman" w:cs="Times New Roman"/>
          <w:lang w:val="en-US" w:eastAsia="cs-CZ"/>
        </w:rPr>
        <w:t>Dorsen</w:t>
      </w:r>
      <w:proofErr w:type="spellEnd"/>
      <w:r w:rsidRPr="00B502F8">
        <w:rPr>
          <w:rFonts w:eastAsia="Times New Roman" w:cs="Times New Roman"/>
          <w:lang w:val="en-US" w:eastAsia="cs-CZ"/>
        </w:rPr>
        <w:t xml:space="preserve">, Rosenfeld, </w:t>
      </w:r>
      <w:proofErr w:type="spellStart"/>
      <w:r w:rsidRPr="00B502F8">
        <w:rPr>
          <w:rFonts w:eastAsia="Times New Roman" w:cs="Times New Roman"/>
          <w:lang w:val="en-US" w:eastAsia="cs-CZ"/>
        </w:rPr>
        <w:t>Sajó</w:t>
      </w:r>
      <w:proofErr w:type="spellEnd"/>
      <w:r w:rsidRPr="00B502F8">
        <w:rPr>
          <w:rFonts w:eastAsia="Times New Roman" w:cs="Times New Roman"/>
          <w:lang w:val="en-US" w:eastAsia="cs-CZ"/>
        </w:rPr>
        <w:t xml:space="preserve"> and Baer: </w:t>
      </w:r>
      <w:r w:rsidRPr="00B502F8">
        <w:rPr>
          <w:rFonts w:eastAsia="Times New Roman" w:cs="Times New Roman"/>
          <w:i/>
          <w:lang w:val="en-US" w:eastAsia="cs-CZ"/>
        </w:rPr>
        <w:t>Comparative Constitutionalism: Cases and Materials</w:t>
      </w:r>
      <w:r w:rsidRPr="00B502F8">
        <w:rPr>
          <w:rFonts w:eastAsia="Times New Roman" w:cs="Times New Roman"/>
          <w:lang w:val="en-US" w:eastAsia="cs-CZ"/>
        </w:rPr>
        <w:t>. St. Paul: Thomson Reuters, 2010.</w:t>
      </w:r>
    </w:p>
    <w:p w:rsidR="008D5486" w:rsidRPr="00B502F8" w:rsidRDefault="008D5486" w:rsidP="00B502F8">
      <w:pPr>
        <w:jc w:val="both"/>
        <w:rPr>
          <w:rFonts w:eastAsia="Times New Roman" w:cs="Times New Roman"/>
          <w:lang w:val="en-US" w:eastAsia="cs-CZ"/>
        </w:rPr>
      </w:pPr>
      <w:r w:rsidRPr="00B502F8">
        <w:rPr>
          <w:rFonts w:eastAsia="Times New Roman" w:cs="Times New Roman"/>
          <w:lang w:val="en-US" w:eastAsia="cs-CZ"/>
        </w:rPr>
        <w:t xml:space="preserve">Ginsburg and Dixon (ed.): </w:t>
      </w:r>
      <w:r w:rsidRPr="00B502F8">
        <w:rPr>
          <w:rFonts w:eastAsia="Times New Roman" w:cs="Times New Roman"/>
          <w:i/>
          <w:lang w:val="en-US" w:eastAsia="cs-CZ"/>
        </w:rPr>
        <w:t>Comparative Constitutional Law</w:t>
      </w:r>
      <w:r w:rsidRPr="00B502F8">
        <w:rPr>
          <w:rFonts w:eastAsia="Times New Roman" w:cs="Times New Roman"/>
          <w:lang w:val="en-US" w:eastAsia="cs-CZ"/>
        </w:rPr>
        <w:t>. Cheltenham: Edward Elgar, 2011.</w:t>
      </w:r>
    </w:p>
    <w:p w:rsidR="008D5486" w:rsidRPr="00B502F8" w:rsidRDefault="008D5486" w:rsidP="00B502F8">
      <w:pPr>
        <w:jc w:val="both"/>
        <w:rPr>
          <w:rFonts w:eastAsia="Times New Roman" w:cs="Times New Roman"/>
          <w:lang w:val="en-US" w:eastAsia="cs-CZ"/>
        </w:rPr>
      </w:pPr>
      <w:r w:rsidRPr="00B502F8">
        <w:rPr>
          <w:rFonts w:eastAsia="Times New Roman" w:cs="Times New Roman"/>
          <w:lang w:val="en-US" w:eastAsia="cs-CZ"/>
        </w:rPr>
        <w:t xml:space="preserve">Ginsburg (ed.): </w:t>
      </w:r>
      <w:r w:rsidRPr="00B502F8">
        <w:rPr>
          <w:rFonts w:eastAsia="Times New Roman" w:cs="Times New Roman"/>
          <w:i/>
          <w:lang w:val="en-US" w:eastAsia="cs-CZ"/>
        </w:rPr>
        <w:t>Comparative Constitutional Design</w:t>
      </w:r>
      <w:r w:rsidRPr="00B502F8">
        <w:rPr>
          <w:rFonts w:eastAsia="Times New Roman" w:cs="Times New Roman"/>
          <w:lang w:val="en-US" w:eastAsia="cs-CZ"/>
        </w:rPr>
        <w:t>. Cambridge: Cambridge University Press, 2012.</w:t>
      </w:r>
    </w:p>
    <w:p w:rsidR="008D5486" w:rsidRPr="00B502F8" w:rsidRDefault="008D5486" w:rsidP="00B502F8">
      <w:pPr>
        <w:jc w:val="both"/>
        <w:rPr>
          <w:rFonts w:eastAsia="Times New Roman" w:cs="Times New Roman"/>
          <w:lang w:val="en-US" w:eastAsia="cs-CZ"/>
        </w:rPr>
      </w:pPr>
      <w:proofErr w:type="spellStart"/>
      <w:r w:rsidRPr="00B502F8">
        <w:rPr>
          <w:rFonts w:eastAsia="Times New Roman" w:cs="Times New Roman"/>
          <w:lang w:val="en-US" w:eastAsia="cs-CZ"/>
        </w:rPr>
        <w:t>Prakke</w:t>
      </w:r>
      <w:proofErr w:type="spellEnd"/>
      <w:r w:rsidRPr="00B502F8">
        <w:rPr>
          <w:rFonts w:eastAsia="Times New Roman" w:cs="Times New Roman"/>
          <w:lang w:val="en-US" w:eastAsia="cs-CZ"/>
        </w:rPr>
        <w:t xml:space="preserve"> and </w:t>
      </w:r>
      <w:proofErr w:type="spellStart"/>
      <w:r w:rsidRPr="00B502F8">
        <w:rPr>
          <w:rFonts w:eastAsia="Times New Roman" w:cs="Times New Roman"/>
          <w:lang w:val="en-US" w:eastAsia="cs-CZ"/>
        </w:rPr>
        <w:t>Kortmann</w:t>
      </w:r>
      <w:proofErr w:type="spellEnd"/>
      <w:r w:rsidRPr="00B502F8">
        <w:rPr>
          <w:rFonts w:eastAsia="Times New Roman" w:cs="Times New Roman"/>
          <w:lang w:val="en-US" w:eastAsia="cs-CZ"/>
        </w:rPr>
        <w:t xml:space="preserve"> (ed.): </w:t>
      </w:r>
      <w:r w:rsidRPr="00B502F8">
        <w:rPr>
          <w:rFonts w:eastAsia="Times New Roman" w:cs="Times New Roman"/>
          <w:i/>
          <w:lang w:val="en-US" w:eastAsia="cs-CZ"/>
        </w:rPr>
        <w:t>Constitutional Law of 15 EU Member States</w:t>
      </w:r>
      <w:r w:rsidRPr="00B502F8">
        <w:rPr>
          <w:rFonts w:eastAsia="Times New Roman" w:cs="Times New Roman"/>
          <w:lang w:val="en-US" w:eastAsia="cs-CZ"/>
        </w:rPr>
        <w:t>. Deventer: Kluwer, 2004.</w:t>
      </w:r>
    </w:p>
    <w:p w:rsidR="008D5486" w:rsidRPr="00B502F8" w:rsidRDefault="008D5486" w:rsidP="00B502F8">
      <w:pPr>
        <w:jc w:val="both"/>
        <w:rPr>
          <w:rFonts w:eastAsia="Times New Roman" w:cs="Times New Roman"/>
          <w:lang w:val="en-US" w:eastAsia="cs-CZ"/>
        </w:rPr>
      </w:pPr>
      <w:proofErr w:type="spellStart"/>
      <w:r w:rsidRPr="00B502F8">
        <w:rPr>
          <w:rFonts w:eastAsia="Times New Roman" w:cs="Times New Roman"/>
          <w:lang w:val="en-US" w:eastAsia="cs-CZ"/>
        </w:rPr>
        <w:t>Kortmann</w:t>
      </w:r>
      <w:proofErr w:type="spellEnd"/>
      <w:r w:rsidRPr="00B502F8">
        <w:rPr>
          <w:rFonts w:eastAsia="Times New Roman" w:cs="Times New Roman"/>
          <w:lang w:val="en-US" w:eastAsia="cs-CZ"/>
        </w:rPr>
        <w:t xml:space="preserve">, </w:t>
      </w:r>
      <w:proofErr w:type="spellStart"/>
      <w:r w:rsidRPr="00B502F8">
        <w:rPr>
          <w:rFonts w:eastAsia="Times New Roman" w:cs="Times New Roman"/>
          <w:lang w:val="en-US" w:eastAsia="cs-CZ"/>
        </w:rPr>
        <w:t>Fleuren</w:t>
      </w:r>
      <w:proofErr w:type="spellEnd"/>
      <w:r w:rsidRPr="00B502F8">
        <w:rPr>
          <w:rFonts w:eastAsia="Times New Roman" w:cs="Times New Roman"/>
          <w:lang w:val="en-US" w:eastAsia="cs-CZ"/>
        </w:rPr>
        <w:t xml:space="preserve"> and </w:t>
      </w:r>
      <w:proofErr w:type="spellStart"/>
      <w:r w:rsidRPr="00B502F8">
        <w:rPr>
          <w:rFonts w:eastAsia="Times New Roman" w:cs="Times New Roman"/>
          <w:lang w:val="en-US" w:eastAsia="cs-CZ"/>
        </w:rPr>
        <w:t>Voermans</w:t>
      </w:r>
      <w:proofErr w:type="spellEnd"/>
      <w:r w:rsidRPr="00B502F8">
        <w:rPr>
          <w:rFonts w:eastAsia="Times New Roman" w:cs="Times New Roman"/>
          <w:lang w:val="en-US" w:eastAsia="cs-CZ"/>
        </w:rPr>
        <w:t xml:space="preserve"> (ed.): </w:t>
      </w:r>
      <w:r w:rsidRPr="00B502F8">
        <w:rPr>
          <w:rFonts w:eastAsia="Times New Roman" w:cs="Times New Roman"/>
          <w:i/>
          <w:lang w:val="en-US" w:eastAsia="cs-CZ"/>
        </w:rPr>
        <w:t>Constitutional Law of 10 EU Member States</w:t>
      </w:r>
      <w:r w:rsidRPr="00B502F8">
        <w:rPr>
          <w:rFonts w:eastAsia="Times New Roman" w:cs="Times New Roman"/>
          <w:lang w:val="en-US" w:eastAsia="cs-CZ"/>
        </w:rPr>
        <w:t>: The 2004 Enlargement. Deventer: Kluwer, 2006.</w:t>
      </w:r>
    </w:p>
    <w:p w:rsidR="008D5486" w:rsidRPr="00B502F8" w:rsidRDefault="008D5486" w:rsidP="00B502F8">
      <w:pPr>
        <w:jc w:val="both"/>
        <w:rPr>
          <w:rFonts w:eastAsia="Times New Roman" w:cs="Times New Roman"/>
          <w:lang w:val="en-US" w:eastAsia="cs-CZ"/>
        </w:rPr>
      </w:pPr>
      <w:proofErr w:type="spellStart"/>
      <w:r w:rsidRPr="00B502F8">
        <w:rPr>
          <w:rFonts w:eastAsia="Times New Roman" w:cs="Times New Roman"/>
          <w:lang w:val="en-US" w:eastAsia="cs-CZ"/>
        </w:rPr>
        <w:t>Tushnet</w:t>
      </w:r>
      <w:proofErr w:type="spellEnd"/>
      <w:r w:rsidRPr="00B502F8">
        <w:rPr>
          <w:rFonts w:eastAsia="Times New Roman" w:cs="Times New Roman"/>
          <w:lang w:val="en-US" w:eastAsia="cs-CZ"/>
        </w:rPr>
        <w:t xml:space="preserve">, </w:t>
      </w:r>
      <w:proofErr w:type="spellStart"/>
      <w:r w:rsidRPr="00B502F8">
        <w:rPr>
          <w:rFonts w:eastAsia="Times New Roman" w:cs="Times New Roman"/>
          <w:lang w:val="en-US" w:eastAsia="cs-CZ"/>
        </w:rPr>
        <w:t>Fleiner</w:t>
      </w:r>
      <w:proofErr w:type="spellEnd"/>
      <w:r w:rsidRPr="00B502F8">
        <w:rPr>
          <w:rFonts w:eastAsia="Times New Roman" w:cs="Times New Roman"/>
          <w:lang w:val="en-US" w:eastAsia="cs-CZ"/>
        </w:rPr>
        <w:t xml:space="preserve"> and Saunders (ed.): </w:t>
      </w:r>
      <w:r w:rsidRPr="00B502F8">
        <w:rPr>
          <w:rFonts w:eastAsia="Times New Roman" w:cs="Times New Roman"/>
          <w:i/>
          <w:lang w:val="en-US" w:eastAsia="cs-CZ"/>
        </w:rPr>
        <w:t>Routledge Handbook of Constitutional Law</w:t>
      </w:r>
      <w:r w:rsidRPr="00B502F8">
        <w:rPr>
          <w:rFonts w:eastAsia="Times New Roman" w:cs="Times New Roman"/>
          <w:lang w:val="en-US" w:eastAsia="cs-CZ"/>
        </w:rPr>
        <w:t>. London: Routledge, 2013.</w:t>
      </w:r>
    </w:p>
    <w:p w:rsidR="008D5486" w:rsidRDefault="008D5486" w:rsidP="006C2B47">
      <w:pPr>
        <w:jc w:val="both"/>
        <w:rPr>
          <w:lang w:val="en-US"/>
        </w:rPr>
      </w:pPr>
    </w:p>
    <w:p w:rsidR="00A874D3" w:rsidRPr="00A874D3" w:rsidRDefault="00A874D3" w:rsidP="006C2B47">
      <w:pPr>
        <w:jc w:val="both"/>
        <w:rPr>
          <w:u w:val="single"/>
          <w:lang w:val="en-US"/>
        </w:rPr>
      </w:pPr>
      <w:r w:rsidRPr="00A874D3">
        <w:rPr>
          <w:u w:val="single"/>
          <w:lang w:val="en-US"/>
        </w:rPr>
        <w:t>Exam requirements:</w:t>
      </w:r>
    </w:p>
    <w:p w:rsidR="00B37721" w:rsidRDefault="00A874D3" w:rsidP="00347E34">
      <w:pPr>
        <w:jc w:val="both"/>
        <w:rPr>
          <w:rFonts w:eastAsia="Times New Roman" w:cs="Times New Roman"/>
          <w:lang w:val="en-US" w:eastAsia="cs-CZ"/>
        </w:rPr>
      </w:pPr>
      <w:r w:rsidRPr="00A874D3">
        <w:rPr>
          <w:rFonts w:eastAsia="Times New Roman" w:cs="Times New Roman"/>
          <w:lang w:val="en-US" w:eastAsia="cs-CZ"/>
        </w:rPr>
        <w:t xml:space="preserve">Each student </w:t>
      </w:r>
      <w:r>
        <w:rPr>
          <w:rFonts w:eastAsia="Times New Roman" w:cs="Times New Roman"/>
          <w:lang w:val="en-US" w:eastAsia="cs-CZ"/>
        </w:rPr>
        <w:t xml:space="preserve">needs to take part in two presentations, i.e. </w:t>
      </w:r>
      <w:r w:rsidR="00546C8B">
        <w:rPr>
          <w:rFonts w:eastAsia="Times New Roman" w:cs="Times New Roman"/>
          <w:lang w:val="en-US" w:eastAsia="cs-CZ"/>
        </w:rPr>
        <w:t xml:space="preserve">be part of two </w:t>
      </w:r>
      <w:r w:rsidR="00C009E8">
        <w:rPr>
          <w:rFonts w:eastAsia="Times New Roman" w:cs="Times New Roman"/>
          <w:lang w:val="en-US" w:eastAsia="cs-CZ"/>
        </w:rPr>
        <w:t>group</w:t>
      </w:r>
      <w:r w:rsidR="00546C8B">
        <w:rPr>
          <w:rFonts w:eastAsia="Times New Roman" w:cs="Times New Roman"/>
          <w:lang w:val="en-US" w:eastAsia="cs-CZ"/>
        </w:rPr>
        <w:t>s. In addition, active participation in other workshops</w:t>
      </w:r>
      <w:r w:rsidR="0097571C">
        <w:rPr>
          <w:rFonts w:eastAsia="Times New Roman" w:cs="Times New Roman"/>
          <w:lang w:val="en-US" w:eastAsia="cs-CZ"/>
        </w:rPr>
        <w:t xml:space="preserve"> </w:t>
      </w:r>
      <w:r w:rsidR="0097571C" w:rsidRPr="00347E34">
        <w:rPr>
          <w:rStyle w:val="hps"/>
        </w:rPr>
        <w:t>throughout</w:t>
      </w:r>
      <w:r w:rsidR="0097571C">
        <w:rPr>
          <w:rFonts w:eastAsia="Times New Roman" w:cs="Times New Roman"/>
          <w:lang w:val="en-US" w:eastAsia="cs-CZ"/>
        </w:rPr>
        <w:t xml:space="preserve"> the course</w:t>
      </w:r>
      <w:r w:rsidR="00546C8B">
        <w:rPr>
          <w:rFonts w:eastAsia="Times New Roman" w:cs="Times New Roman"/>
          <w:lang w:val="en-US" w:eastAsia="cs-CZ"/>
        </w:rPr>
        <w:t xml:space="preserve">, based on sufficient preparation, is expected. The attendance is compulsory, with a maximum of two absences allowed.  The final exam </w:t>
      </w:r>
      <w:r w:rsidR="00C85A3D">
        <w:rPr>
          <w:rFonts w:eastAsia="Times New Roman" w:cs="Times New Roman"/>
          <w:lang w:val="en-US" w:eastAsia="cs-CZ"/>
        </w:rPr>
        <w:t xml:space="preserve">has </w:t>
      </w:r>
      <w:r w:rsidR="00546C8B">
        <w:rPr>
          <w:rFonts w:eastAsia="Times New Roman" w:cs="Times New Roman"/>
          <w:lang w:val="en-US" w:eastAsia="cs-CZ"/>
        </w:rPr>
        <w:t>form of an essay which is to be written within 24 hours after essay questions are made available (</w:t>
      </w:r>
      <w:r w:rsidR="00546C8B" w:rsidRPr="00546C8B">
        <w:rPr>
          <w:rFonts w:eastAsia="Times New Roman" w:cs="Times New Roman"/>
          <w:i/>
          <w:lang w:val="en-US" w:eastAsia="cs-CZ"/>
        </w:rPr>
        <w:t>take-home exam</w:t>
      </w:r>
      <w:r w:rsidR="00546C8B">
        <w:rPr>
          <w:rFonts w:eastAsia="Times New Roman" w:cs="Times New Roman"/>
          <w:lang w:val="en-US" w:eastAsia="cs-CZ"/>
        </w:rPr>
        <w:t xml:space="preserve">). </w:t>
      </w:r>
      <w:r w:rsidR="00B37721">
        <w:rPr>
          <w:rFonts w:eastAsia="Times New Roman" w:cs="Times New Roman"/>
          <w:lang w:val="en-US" w:eastAsia="cs-CZ"/>
        </w:rPr>
        <w:t xml:space="preserve">Students will be given a choice of </w:t>
      </w:r>
      <w:r w:rsidR="00546C8B">
        <w:rPr>
          <w:rFonts w:eastAsia="Times New Roman" w:cs="Times New Roman"/>
          <w:lang w:val="en-US" w:eastAsia="cs-CZ"/>
        </w:rPr>
        <w:t>three essay questions</w:t>
      </w:r>
      <w:r w:rsidR="00B37721">
        <w:rPr>
          <w:rFonts w:eastAsia="Times New Roman" w:cs="Times New Roman"/>
          <w:lang w:val="en-US" w:eastAsia="cs-CZ"/>
        </w:rPr>
        <w:t xml:space="preserve"> to pick one</w:t>
      </w:r>
      <w:r w:rsidR="00546C8B">
        <w:rPr>
          <w:rFonts w:eastAsia="Times New Roman" w:cs="Times New Roman"/>
          <w:lang w:val="en-US" w:eastAsia="cs-CZ"/>
        </w:rPr>
        <w:t>.</w:t>
      </w:r>
      <w:r w:rsidR="00B37721">
        <w:rPr>
          <w:rFonts w:eastAsia="Times New Roman" w:cs="Times New Roman"/>
          <w:lang w:val="en-US" w:eastAsia="cs-CZ"/>
        </w:rPr>
        <w:t xml:space="preserve"> All questions will be based on the course curriculum and handouts from the workshops.</w:t>
      </w:r>
    </w:p>
    <w:p w:rsidR="00B37721" w:rsidRDefault="00B37721" w:rsidP="00C85A3D">
      <w:pPr>
        <w:jc w:val="both"/>
        <w:rPr>
          <w:u w:val="single"/>
          <w:lang w:val="en-US"/>
        </w:rPr>
      </w:pPr>
    </w:p>
    <w:p w:rsidR="00C85A3D" w:rsidRPr="00A874D3" w:rsidRDefault="00C85A3D" w:rsidP="00C85A3D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Final grade components</w:t>
      </w:r>
      <w:r w:rsidRPr="00A874D3">
        <w:rPr>
          <w:u w:val="single"/>
          <w:lang w:val="en-US"/>
        </w:rPr>
        <w:t>:</w:t>
      </w:r>
    </w:p>
    <w:p w:rsidR="00C85A3D" w:rsidRPr="00C85A3D" w:rsidRDefault="00C85A3D" w:rsidP="00C85A3D">
      <w:pPr>
        <w:jc w:val="both"/>
        <w:rPr>
          <w:lang w:val="en-US"/>
        </w:rPr>
      </w:pPr>
      <w:r>
        <w:rPr>
          <w:lang w:val="en-US"/>
        </w:rPr>
        <w:t>The f</w:t>
      </w:r>
      <w:r w:rsidRPr="00C85A3D">
        <w:rPr>
          <w:lang w:val="en-US"/>
        </w:rPr>
        <w:t xml:space="preserve">inal </w:t>
      </w:r>
      <w:r>
        <w:rPr>
          <w:lang w:val="en-US"/>
        </w:rPr>
        <w:t xml:space="preserve">course </w:t>
      </w:r>
      <w:r w:rsidRPr="00C85A3D">
        <w:rPr>
          <w:lang w:val="en-US"/>
        </w:rPr>
        <w:t xml:space="preserve">grade </w:t>
      </w:r>
      <w:r>
        <w:rPr>
          <w:lang w:val="en-US"/>
        </w:rPr>
        <w:t>reflect</w:t>
      </w:r>
      <w:r w:rsidR="00B502F8">
        <w:rPr>
          <w:lang w:val="en-US"/>
        </w:rPr>
        <w:t>s</w:t>
      </w:r>
      <w:r>
        <w:rPr>
          <w:lang w:val="en-US"/>
        </w:rPr>
        <w:t xml:space="preserve"> achievement of course goals represented by these weighted components:</w:t>
      </w:r>
    </w:p>
    <w:p w:rsidR="008D5486" w:rsidRPr="00C85A3D" w:rsidRDefault="008D5486" w:rsidP="006C2B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val="en-US" w:eastAsia="cs-CZ"/>
        </w:rPr>
      </w:pPr>
      <w:r w:rsidRPr="00C85A3D">
        <w:rPr>
          <w:rFonts w:eastAsia="Times New Roman" w:cs="Times New Roman"/>
          <w:lang w:val="en-US" w:eastAsia="cs-CZ"/>
        </w:rPr>
        <w:t xml:space="preserve">30 %               </w:t>
      </w:r>
      <w:r w:rsidR="00C85A3D">
        <w:rPr>
          <w:rFonts w:eastAsia="Times New Roman" w:cs="Times New Roman"/>
          <w:lang w:val="en-US" w:eastAsia="cs-CZ"/>
        </w:rPr>
        <w:t>written handouts (</w:t>
      </w:r>
      <w:r w:rsidRPr="00C85A3D">
        <w:rPr>
          <w:rFonts w:eastAsia="Times New Roman" w:cs="Times New Roman"/>
          <w:lang w:val="en-US" w:eastAsia="cs-CZ"/>
        </w:rPr>
        <w:t>15 %</w:t>
      </w:r>
      <w:r w:rsidR="00C85A3D">
        <w:rPr>
          <w:rFonts w:eastAsia="Times New Roman" w:cs="Times New Roman"/>
          <w:lang w:val="en-US" w:eastAsia="cs-CZ"/>
        </w:rPr>
        <w:t xml:space="preserve"> for each, with the </w:t>
      </w:r>
      <w:r w:rsidR="00C009E8">
        <w:rPr>
          <w:rFonts w:eastAsia="Times New Roman" w:cs="Times New Roman"/>
          <w:lang w:val="en-US" w:eastAsia="cs-CZ"/>
        </w:rPr>
        <w:t>group</w:t>
      </w:r>
      <w:r w:rsidR="00C85A3D">
        <w:rPr>
          <w:rFonts w:eastAsia="Times New Roman" w:cs="Times New Roman"/>
          <w:lang w:val="en-US" w:eastAsia="cs-CZ"/>
        </w:rPr>
        <w:t xml:space="preserve"> evaluated as a whole</w:t>
      </w:r>
      <w:r w:rsidRPr="00C85A3D">
        <w:rPr>
          <w:rFonts w:eastAsia="Times New Roman" w:cs="Times New Roman"/>
          <w:lang w:val="en-US" w:eastAsia="cs-CZ"/>
        </w:rPr>
        <w:t>)</w:t>
      </w:r>
    </w:p>
    <w:p w:rsidR="008D5486" w:rsidRPr="00C85A3D" w:rsidRDefault="008D5486" w:rsidP="006C2B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val="en-US" w:eastAsia="cs-CZ"/>
        </w:rPr>
      </w:pPr>
      <w:r w:rsidRPr="00C85A3D">
        <w:rPr>
          <w:rFonts w:eastAsia="Times New Roman" w:cs="Times New Roman"/>
          <w:lang w:val="en-US" w:eastAsia="cs-CZ"/>
        </w:rPr>
        <w:t xml:space="preserve">30 %               </w:t>
      </w:r>
      <w:r w:rsidR="00C85A3D">
        <w:rPr>
          <w:rFonts w:eastAsia="Times New Roman" w:cs="Times New Roman"/>
          <w:lang w:val="en-US" w:eastAsia="cs-CZ"/>
        </w:rPr>
        <w:t xml:space="preserve">oral presentation </w:t>
      </w:r>
      <w:r w:rsidRPr="00C85A3D">
        <w:rPr>
          <w:rFonts w:eastAsia="Times New Roman" w:cs="Times New Roman"/>
          <w:lang w:val="en-US" w:eastAsia="cs-CZ"/>
        </w:rPr>
        <w:t>(15 %</w:t>
      </w:r>
      <w:r w:rsidR="00C85A3D">
        <w:rPr>
          <w:rFonts w:eastAsia="Times New Roman" w:cs="Times New Roman"/>
          <w:lang w:val="en-US" w:eastAsia="cs-CZ"/>
        </w:rPr>
        <w:t xml:space="preserve"> for each, </w:t>
      </w:r>
      <w:r w:rsidR="00C85374">
        <w:rPr>
          <w:rFonts w:eastAsia="Times New Roman" w:cs="Times New Roman"/>
          <w:lang w:val="en-US" w:eastAsia="cs-CZ"/>
        </w:rPr>
        <w:t xml:space="preserve">with the </w:t>
      </w:r>
      <w:r w:rsidR="00C009E8">
        <w:rPr>
          <w:rFonts w:eastAsia="Times New Roman" w:cs="Times New Roman"/>
          <w:lang w:val="en-US" w:eastAsia="cs-CZ"/>
        </w:rPr>
        <w:t>group</w:t>
      </w:r>
      <w:r w:rsidR="00C85374">
        <w:rPr>
          <w:rFonts w:eastAsia="Times New Roman" w:cs="Times New Roman"/>
          <w:lang w:val="en-US" w:eastAsia="cs-CZ"/>
        </w:rPr>
        <w:t xml:space="preserve"> evaluated as a whole</w:t>
      </w:r>
      <w:r w:rsidRPr="00C85A3D">
        <w:rPr>
          <w:rFonts w:eastAsia="Times New Roman" w:cs="Times New Roman"/>
          <w:lang w:val="en-US" w:eastAsia="cs-CZ"/>
        </w:rPr>
        <w:t>)</w:t>
      </w:r>
    </w:p>
    <w:p w:rsidR="008D5486" w:rsidRPr="00C85A3D" w:rsidRDefault="008D5486" w:rsidP="006C2B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val="en-US" w:eastAsia="cs-CZ"/>
        </w:rPr>
      </w:pPr>
      <w:r w:rsidRPr="00C85A3D">
        <w:rPr>
          <w:rFonts w:eastAsia="Times New Roman" w:cs="Times New Roman"/>
          <w:lang w:val="en-US" w:eastAsia="cs-CZ"/>
        </w:rPr>
        <w:t xml:space="preserve">15 %               </w:t>
      </w:r>
      <w:r w:rsidR="00C85374">
        <w:rPr>
          <w:rFonts w:eastAsia="Times New Roman" w:cs="Times New Roman"/>
          <w:lang w:val="en-US" w:eastAsia="cs-CZ"/>
        </w:rPr>
        <w:t>active participation throughout the course</w:t>
      </w:r>
    </w:p>
    <w:p w:rsidR="008D5486" w:rsidRPr="00C85374" w:rsidRDefault="008D5486" w:rsidP="006C2B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val="en-US" w:eastAsia="cs-CZ"/>
        </w:rPr>
      </w:pPr>
      <w:r w:rsidRPr="00C85A3D">
        <w:rPr>
          <w:rFonts w:eastAsia="Times New Roman" w:cs="Times New Roman"/>
          <w:lang w:val="en-US" w:eastAsia="cs-CZ"/>
        </w:rPr>
        <w:t xml:space="preserve">25 %               </w:t>
      </w:r>
      <w:r w:rsidR="00C85374">
        <w:rPr>
          <w:rFonts w:eastAsia="Times New Roman" w:cs="Times New Roman"/>
          <w:lang w:val="en-US" w:eastAsia="cs-CZ"/>
        </w:rPr>
        <w:t>final take-home exam (essay)</w:t>
      </w:r>
    </w:p>
    <w:sectPr w:rsidR="008D5486" w:rsidRPr="00C8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7EC"/>
    <w:multiLevelType w:val="hybridMultilevel"/>
    <w:tmpl w:val="6D7EE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D0453"/>
    <w:multiLevelType w:val="multilevel"/>
    <w:tmpl w:val="374E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AE9"/>
    <w:multiLevelType w:val="multilevel"/>
    <w:tmpl w:val="9E46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74"/>
    <w:rsid w:val="000010A8"/>
    <w:rsid w:val="00001857"/>
    <w:rsid w:val="00001FD8"/>
    <w:rsid w:val="00002C74"/>
    <w:rsid w:val="000046BA"/>
    <w:rsid w:val="00005B4C"/>
    <w:rsid w:val="00010A7A"/>
    <w:rsid w:val="00012ECC"/>
    <w:rsid w:val="00013260"/>
    <w:rsid w:val="00014C52"/>
    <w:rsid w:val="000210A5"/>
    <w:rsid w:val="000218E5"/>
    <w:rsid w:val="00024393"/>
    <w:rsid w:val="0002445B"/>
    <w:rsid w:val="00030915"/>
    <w:rsid w:val="000312D7"/>
    <w:rsid w:val="000329FA"/>
    <w:rsid w:val="00033B50"/>
    <w:rsid w:val="00034636"/>
    <w:rsid w:val="00034B43"/>
    <w:rsid w:val="000353FC"/>
    <w:rsid w:val="00035C84"/>
    <w:rsid w:val="000408CF"/>
    <w:rsid w:val="0004223C"/>
    <w:rsid w:val="000440B0"/>
    <w:rsid w:val="00044661"/>
    <w:rsid w:val="00044E62"/>
    <w:rsid w:val="00046988"/>
    <w:rsid w:val="00050556"/>
    <w:rsid w:val="00050AEB"/>
    <w:rsid w:val="000534EB"/>
    <w:rsid w:val="000551A8"/>
    <w:rsid w:val="00057F0F"/>
    <w:rsid w:val="0006013B"/>
    <w:rsid w:val="00066FA7"/>
    <w:rsid w:val="00070E23"/>
    <w:rsid w:val="00070F47"/>
    <w:rsid w:val="00072BCC"/>
    <w:rsid w:val="000779E7"/>
    <w:rsid w:val="000802ED"/>
    <w:rsid w:val="0008038D"/>
    <w:rsid w:val="00081746"/>
    <w:rsid w:val="00083A35"/>
    <w:rsid w:val="0008504D"/>
    <w:rsid w:val="000857E5"/>
    <w:rsid w:val="00085826"/>
    <w:rsid w:val="000866C6"/>
    <w:rsid w:val="0008736C"/>
    <w:rsid w:val="00095AAD"/>
    <w:rsid w:val="000A3181"/>
    <w:rsid w:val="000A6D2A"/>
    <w:rsid w:val="000B4827"/>
    <w:rsid w:val="000B59D1"/>
    <w:rsid w:val="000C0247"/>
    <w:rsid w:val="000C2ACF"/>
    <w:rsid w:val="000C56D3"/>
    <w:rsid w:val="000D0964"/>
    <w:rsid w:val="000D30C4"/>
    <w:rsid w:val="000D6F00"/>
    <w:rsid w:val="000E213E"/>
    <w:rsid w:val="000E41AC"/>
    <w:rsid w:val="000E501B"/>
    <w:rsid w:val="000E5A01"/>
    <w:rsid w:val="000E5E0E"/>
    <w:rsid w:val="000F1BF9"/>
    <w:rsid w:val="000F21C4"/>
    <w:rsid w:val="000F2F7D"/>
    <w:rsid w:val="000F3E22"/>
    <w:rsid w:val="000F5008"/>
    <w:rsid w:val="000F571E"/>
    <w:rsid w:val="00100562"/>
    <w:rsid w:val="00100812"/>
    <w:rsid w:val="00101232"/>
    <w:rsid w:val="00103ADD"/>
    <w:rsid w:val="00104E24"/>
    <w:rsid w:val="00105ADE"/>
    <w:rsid w:val="00112716"/>
    <w:rsid w:val="00112F9E"/>
    <w:rsid w:val="0011366B"/>
    <w:rsid w:val="00117480"/>
    <w:rsid w:val="00120654"/>
    <w:rsid w:val="00122879"/>
    <w:rsid w:val="00122DDC"/>
    <w:rsid w:val="00123564"/>
    <w:rsid w:val="001237B0"/>
    <w:rsid w:val="0012394C"/>
    <w:rsid w:val="0012466C"/>
    <w:rsid w:val="00125F08"/>
    <w:rsid w:val="0012773F"/>
    <w:rsid w:val="0013028B"/>
    <w:rsid w:val="001310AD"/>
    <w:rsid w:val="00134E87"/>
    <w:rsid w:val="001374DE"/>
    <w:rsid w:val="00137A11"/>
    <w:rsid w:val="00141B4B"/>
    <w:rsid w:val="00141DB8"/>
    <w:rsid w:val="00142608"/>
    <w:rsid w:val="001428AD"/>
    <w:rsid w:val="00143257"/>
    <w:rsid w:val="00144521"/>
    <w:rsid w:val="00145C4B"/>
    <w:rsid w:val="00151CB6"/>
    <w:rsid w:val="001538E6"/>
    <w:rsid w:val="001577AD"/>
    <w:rsid w:val="001577B2"/>
    <w:rsid w:val="001611B5"/>
    <w:rsid w:val="0016188F"/>
    <w:rsid w:val="00163656"/>
    <w:rsid w:val="00164498"/>
    <w:rsid w:val="00165CE2"/>
    <w:rsid w:val="00167E87"/>
    <w:rsid w:val="00174881"/>
    <w:rsid w:val="00175C2C"/>
    <w:rsid w:val="0017630D"/>
    <w:rsid w:val="001858CD"/>
    <w:rsid w:val="00185CB1"/>
    <w:rsid w:val="001875C8"/>
    <w:rsid w:val="00191DDF"/>
    <w:rsid w:val="00192A5E"/>
    <w:rsid w:val="00193E5F"/>
    <w:rsid w:val="001946C9"/>
    <w:rsid w:val="001A015F"/>
    <w:rsid w:val="001A2B38"/>
    <w:rsid w:val="001A46C7"/>
    <w:rsid w:val="001A5590"/>
    <w:rsid w:val="001A70E0"/>
    <w:rsid w:val="001B20C4"/>
    <w:rsid w:val="001B2B2C"/>
    <w:rsid w:val="001B7B6F"/>
    <w:rsid w:val="001B7E5C"/>
    <w:rsid w:val="001C0B1D"/>
    <w:rsid w:val="001C383D"/>
    <w:rsid w:val="001C7D1B"/>
    <w:rsid w:val="001D0BD5"/>
    <w:rsid w:val="001D0F24"/>
    <w:rsid w:val="001D15B2"/>
    <w:rsid w:val="001D6560"/>
    <w:rsid w:val="001D71C3"/>
    <w:rsid w:val="001E260F"/>
    <w:rsid w:val="001E299D"/>
    <w:rsid w:val="001E4379"/>
    <w:rsid w:val="001E4654"/>
    <w:rsid w:val="001E4AFB"/>
    <w:rsid w:val="001E7097"/>
    <w:rsid w:val="001F00E7"/>
    <w:rsid w:val="001F0B16"/>
    <w:rsid w:val="001F1807"/>
    <w:rsid w:val="001F3598"/>
    <w:rsid w:val="001F3BE5"/>
    <w:rsid w:val="001F4E43"/>
    <w:rsid w:val="00205BD3"/>
    <w:rsid w:val="002060C9"/>
    <w:rsid w:val="002062E5"/>
    <w:rsid w:val="00206304"/>
    <w:rsid w:val="00207BBB"/>
    <w:rsid w:val="00211213"/>
    <w:rsid w:val="00213EF5"/>
    <w:rsid w:val="002177D9"/>
    <w:rsid w:val="002178EF"/>
    <w:rsid w:val="00217EC4"/>
    <w:rsid w:val="0022082A"/>
    <w:rsid w:val="00227D5B"/>
    <w:rsid w:val="002305F1"/>
    <w:rsid w:val="0023067A"/>
    <w:rsid w:val="002340A7"/>
    <w:rsid w:val="002364C4"/>
    <w:rsid w:val="002410EF"/>
    <w:rsid w:val="00243852"/>
    <w:rsid w:val="00243A53"/>
    <w:rsid w:val="00244F13"/>
    <w:rsid w:val="00246E68"/>
    <w:rsid w:val="002474E4"/>
    <w:rsid w:val="002475DA"/>
    <w:rsid w:val="00253494"/>
    <w:rsid w:val="002612B6"/>
    <w:rsid w:val="00263CF2"/>
    <w:rsid w:val="002666E6"/>
    <w:rsid w:val="002702D0"/>
    <w:rsid w:val="00283FEC"/>
    <w:rsid w:val="002907DB"/>
    <w:rsid w:val="00291FEF"/>
    <w:rsid w:val="002929D2"/>
    <w:rsid w:val="0029383B"/>
    <w:rsid w:val="00294983"/>
    <w:rsid w:val="0029590A"/>
    <w:rsid w:val="00296422"/>
    <w:rsid w:val="002A3BB3"/>
    <w:rsid w:val="002A5F84"/>
    <w:rsid w:val="002A77C6"/>
    <w:rsid w:val="002B21AF"/>
    <w:rsid w:val="002B6958"/>
    <w:rsid w:val="002C7B87"/>
    <w:rsid w:val="002D76A3"/>
    <w:rsid w:val="002E0506"/>
    <w:rsid w:val="002E3AAF"/>
    <w:rsid w:val="002E596C"/>
    <w:rsid w:val="002F06F6"/>
    <w:rsid w:val="002F2A25"/>
    <w:rsid w:val="002F2B41"/>
    <w:rsid w:val="002F5C39"/>
    <w:rsid w:val="002F71C6"/>
    <w:rsid w:val="00301068"/>
    <w:rsid w:val="003068F0"/>
    <w:rsid w:val="00307237"/>
    <w:rsid w:val="003121D9"/>
    <w:rsid w:val="003178FC"/>
    <w:rsid w:val="00317AAD"/>
    <w:rsid w:val="00317D83"/>
    <w:rsid w:val="0032176E"/>
    <w:rsid w:val="00325F60"/>
    <w:rsid w:val="003272EF"/>
    <w:rsid w:val="00331B3C"/>
    <w:rsid w:val="00333283"/>
    <w:rsid w:val="003363E9"/>
    <w:rsid w:val="003415B6"/>
    <w:rsid w:val="00341D31"/>
    <w:rsid w:val="00344EBA"/>
    <w:rsid w:val="00347E34"/>
    <w:rsid w:val="00350A1A"/>
    <w:rsid w:val="00351B21"/>
    <w:rsid w:val="003524B1"/>
    <w:rsid w:val="00354C7A"/>
    <w:rsid w:val="00356293"/>
    <w:rsid w:val="00356A74"/>
    <w:rsid w:val="00357AD2"/>
    <w:rsid w:val="00362951"/>
    <w:rsid w:val="00366FA1"/>
    <w:rsid w:val="00367EA7"/>
    <w:rsid w:val="0037388F"/>
    <w:rsid w:val="00374523"/>
    <w:rsid w:val="003772DC"/>
    <w:rsid w:val="003820AC"/>
    <w:rsid w:val="00383FEF"/>
    <w:rsid w:val="00390084"/>
    <w:rsid w:val="00390346"/>
    <w:rsid w:val="00396D75"/>
    <w:rsid w:val="003A0920"/>
    <w:rsid w:val="003A43A7"/>
    <w:rsid w:val="003A799E"/>
    <w:rsid w:val="003B197C"/>
    <w:rsid w:val="003B1EBD"/>
    <w:rsid w:val="003B6ABD"/>
    <w:rsid w:val="003E0AC2"/>
    <w:rsid w:val="003E259B"/>
    <w:rsid w:val="003E4C05"/>
    <w:rsid w:val="003F2606"/>
    <w:rsid w:val="003F279A"/>
    <w:rsid w:val="003F2C8E"/>
    <w:rsid w:val="003F5249"/>
    <w:rsid w:val="003F699C"/>
    <w:rsid w:val="003F699F"/>
    <w:rsid w:val="003F7612"/>
    <w:rsid w:val="00403837"/>
    <w:rsid w:val="004043BB"/>
    <w:rsid w:val="004047A1"/>
    <w:rsid w:val="00411E9B"/>
    <w:rsid w:val="0041317E"/>
    <w:rsid w:val="00414E3C"/>
    <w:rsid w:val="00415683"/>
    <w:rsid w:val="00415AC2"/>
    <w:rsid w:val="00415F4F"/>
    <w:rsid w:val="004163F0"/>
    <w:rsid w:val="00423A8E"/>
    <w:rsid w:val="00426E10"/>
    <w:rsid w:val="0042706D"/>
    <w:rsid w:val="00427E72"/>
    <w:rsid w:val="00431298"/>
    <w:rsid w:val="00435E19"/>
    <w:rsid w:val="00437929"/>
    <w:rsid w:val="00441269"/>
    <w:rsid w:val="0044134C"/>
    <w:rsid w:val="004501B4"/>
    <w:rsid w:val="00450254"/>
    <w:rsid w:val="00452F55"/>
    <w:rsid w:val="00454441"/>
    <w:rsid w:val="00454F94"/>
    <w:rsid w:val="0045504A"/>
    <w:rsid w:val="00457433"/>
    <w:rsid w:val="00457534"/>
    <w:rsid w:val="004614A1"/>
    <w:rsid w:val="0046278D"/>
    <w:rsid w:val="00463342"/>
    <w:rsid w:val="00463A90"/>
    <w:rsid w:val="00466C8F"/>
    <w:rsid w:val="0046754C"/>
    <w:rsid w:val="0047004D"/>
    <w:rsid w:val="00470A7A"/>
    <w:rsid w:val="00474643"/>
    <w:rsid w:val="0048170D"/>
    <w:rsid w:val="004819AF"/>
    <w:rsid w:val="00483B55"/>
    <w:rsid w:val="00483DD0"/>
    <w:rsid w:val="00484935"/>
    <w:rsid w:val="00485466"/>
    <w:rsid w:val="00494954"/>
    <w:rsid w:val="00495303"/>
    <w:rsid w:val="00497747"/>
    <w:rsid w:val="004A1869"/>
    <w:rsid w:val="004A203E"/>
    <w:rsid w:val="004A5478"/>
    <w:rsid w:val="004A5E2C"/>
    <w:rsid w:val="004B02C7"/>
    <w:rsid w:val="004B34C2"/>
    <w:rsid w:val="004B3CE2"/>
    <w:rsid w:val="004B687E"/>
    <w:rsid w:val="004C16D0"/>
    <w:rsid w:val="004C5401"/>
    <w:rsid w:val="004C5DA6"/>
    <w:rsid w:val="004D596A"/>
    <w:rsid w:val="004D7D92"/>
    <w:rsid w:val="004E60C4"/>
    <w:rsid w:val="004E6F4F"/>
    <w:rsid w:val="004F0A63"/>
    <w:rsid w:val="004F2996"/>
    <w:rsid w:val="004F748F"/>
    <w:rsid w:val="004F7CBC"/>
    <w:rsid w:val="005009D7"/>
    <w:rsid w:val="005030E2"/>
    <w:rsid w:val="00503433"/>
    <w:rsid w:val="00503F21"/>
    <w:rsid w:val="00504A8B"/>
    <w:rsid w:val="0050524A"/>
    <w:rsid w:val="00505C97"/>
    <w:rsid w:val="00513BEE"/>
    <w:rsid w:val="0051633E"/>
    <w:rsid w:val="0052090B"/>
    <w:rsid w:val="005263B4"/>
    <w:rsid w:val="00526A06"/>
    <w:rsid w:val="00526D5D"/>
    <w:rsid w:val="00527139"/>
    <w:rsid w:val="005274C4"/>
    <w:rsid w:val="0053056C"/>
    <w:rsid w:val="00531012"/>
    <w:rsid w:val="005355F6"/>
    <w:rsid w:val="00535C74"/>
    <w:rsid w:val="00536F4A"/>
    <w:rsid w:val="00542FB4"/>
    <w:rsid w:val="00544570"/>
    <w:rsid w:val="005454B6"/>
    <w:rsid w:val="0054563C"/>
    <w:rsid w:val="00546C8B"/>
    <w:rsid w:val="00551DE5"/>
    <w:rsid w:val="00552B70"/>
    <w:rsid w:val="005532F3"/>
    <w:rsid w:val="0055448D"/>
    <w:rsid w:val="00554F35"/>
    <w:rsid w:val="00560113"/>
    <w:rsid w:val="00562598"/>
    <w:rsid w:val="00574AC7"/>
    <w:rsid w:val="00574D21"/>
    <w:rsid w:val="005773D1"/>
    <w:rsid w:val="00586242"/>
    <w:rsid w:val="00590D5D"/>
    <w:rsid w:val="00593F18"/>
    <w:rsid w:val="005961CA"/>
    <w:rsid w:val="00597D56"/>
    <w:rsid w:val="005A04E5"/>
    <w:rsid w:val="005A1B2F"/>
    <w:rsid w:val="005A221B"/>
    <w:rsid w:val="005A2815"/>
    <w:rsid w:val="005A517D"/>
    <w:rsid w:val="005A6C07"/>
    <w:rsid w:val="005B07A3"/>
    <w:rsid w:val="005B43B9"/>
    <w:rsid w:val="005B499B"/>
    <w:rsid w:val="005C3086"/>
    <w:rsid w:val="005C3362"/>
    <w:rsid w:val="005D1B26"/>
    <w:rsid w:val="005E0583"/>
    <w:rsid w:val="005E1625"/>
    <w:rsid w:val="005E222E"/>
    <w:rsid w:val="005E326E"/>
    <w:rsid w:val="005E43BC"/>
    <w:rsid w:val="005E6D0B"/>
    <w:rsid w:val="005F3A58"/>
    <w:rsid w:val="005F43C4"/>
    <w:rsid w:val="005F4428"/>
    <w:rsid w:val="00603267"/>
    <w:rsid w:val="0061132A"/>
    <w:rsid w:val="00612F52"/>
    <w:rsid w:val="00617EAC"/>
    <w:rsid w:val="0062089A"/>
    <w:rsid w:val="006215A6"/>
    <w:rsid w:val="0062311E"/>
    <w:rsid w:val="0063298A"/>
    <w:rsid w:val="00636EF1"/>
    <w:rsid w:val="006431AF"/>
    <w:rsid w:val="00643750"/>
    <w:rsid w:val="00643E04"/>
    <w:rsid w:val="00644AE7"/>
    <w:rsid w:val="006453BF"/>
    <w:rsid w:val="00645C88"/>
    <w:rsid w:val="00646FD9"/>
    <w:rsid w:val="00647136"/>
    <w:rsid w:val="006514B1"/>
    <w:rsid w:val="00652F76"/>
    <w:rsid w:val="00654E03"/>
    <w:rsid w:val="00654E38"/>
    <w:rsid w:val="00656541"/>
    <w:rsid w:val="00656730"/>
    <w:rsid w:val="0066128B"/>
    <w:rsid w:val="006655DF"/>
    <w:rsid w:val="006678B0"/>
    <w:rsid w:val="006727BD"/>
    <w:rsid w:val="00673521"/>
    <w:rsid w:val="00675216"/>
    <w:rsid w:val="00675A24"/>
    <w:rsid w:val="0068504C"/>
    <w:rsid w:val="00696548"/>
    <w:rsid w:val="006A2B52"/>
    <w:rsid w:val="006A2EA3"/>
    <w:rsid w:val="006A7021"/>
    <w:rsid w:val="006B000D"/>
    <w:rsid w:val="006B1CAC"/>
    <w:rsid w:val="006B2B51"/>
    <w:rsid w:val="006B3498"/>
    <w:rsid w:val="006B509E"/>
    <w:rsid w:val="006B551D"/>
    <w:rsid w:val="006B6A0C"/>
    <w:rsid w:val="006C2323"/>
    <w:rsid w:val="006C2902"/>
    <w:rsid w:val="006C2B47"/>
    <w:rsid w:val="006C3CD4"/>
    <w:rsid w:val="006C7524"/>
    <w:rsid w:val="006C77C6"/>
    <w:rsid w:val="006C77E5"/>
    <w:rsid w:val="006C7FC3"/>
    <w:rsid w:val="006D04F8"/>
    <w:rsid w:val="006D19B7"/>
    <w:rsid w:val="006D3561"/>
    <w:rsid w:val="006D3C4E"/>
    <w:rsid w:val="006D6C07"/>
    <w:rsid w:val="006E12E3"/>
    <w:rsid w:val="006E3607"/>
    <w:rsid w:val="006F1598"/>
    <w:rsid w:val="006F4DAB"/>
    <w:rsid w:val="006F7F20"/>
    <w:rsid w:val="007006C8"/>
    <w:rsid w:val="007008B0"/>
    <w:rsid w:val="0070343B"/>
    <w:rsid w:val="00706A46"/>
    <w:rsid w:val="00710300"/>
    <w:rsid w:val="00710510"/>
    <w:rsid w:val="007121F1"/>
    <w:rsid w:val="00712BEB"/>
    <w:rsid w:val="00714926"/>
    <w:rsid w:val="00715D21"/>
    <w:rsid w:val="00717565"/>
    <w:rsid w:val="007203AD"/>
    <w:rsid w:val="007229D8"/>
    <w:rsid w:val="00724377"/>
    <w:rsid w:val="00725422"/>
    <w:rsid w:val="00733906"/>
    <w:rsid w:val="007343F0"/>
    <w:rsid w:val="00740354"/>
    <w:rsid w:val="00743B36"/>
    <w:rsid w:val="00744BB1"/>
    <w:rsid w:val="00745837"/>
    <w:rsid w:val="0074663B"/>
    <w:rsid w:val="007523BD"/>
    <w:rsid w:val="00763F82"/>
    <w:rsid w:val="00764C41"/>
    <w:rsid w:val="00764CCE"/>
    <w:rsid w:val="00767B65"/>
    <w:rsid w:val="007709A7"/>
    <w:rsid w:val="00772840"/>
    <w:rsid w:val="0078296E"/>
    <w:rsid w:val="007857CC"/>
    <w:rsid w:val="007A2679"/>
    <w:rsid w:val="007B0261"/>
    <w:rsid w:val="007B06B9"/>
    <w:rsid w:val="007B17FF"/>
    <w:rsid w:val="007B1DDF"/>
    <w:rsid w:val="007B453C"/>
    <w:rsid w:val="007C2D26"/>
    <w:rsid w:val="007D0AA4"/>
    <w:rsid w:val="007D1C76"/>
    <w:rsid w:val="007D39CB"/>
    <w:rsid w:val="007D3F1A"/>
    <w:rsid w:val="007E0F59"/>
    <w:rsid w:val="007E10A2"/>
    <w:rsid w:val="007E1EC7"/>
    <w:rsid w:val="007E20C6"/>
    <w:rsid w:val="007E3A42"/>
    <w:rsid w:val="007E44C7"/>
    <w:rsid w:val="007E6520"/>
    <w:rsid w:val="007E71C1"/>
    <w:rsid w:val="007E73F6"/>
    <w:rsid w:val="007F28BE"/>
    <w:rsid w:val="007F35EA"/>
    <w:rsid w:val="007F4F84"/>
    <w:rsid w:val="007F5F48"/>
    <w:rsid w:val="007F6E91"/>
    <w:rsid w:val="00804B82"/>
    <w:rsid w:val="008115B9"/>
    <w:rsid w:val="00825E2E"/>
    <w:rsid w:val="00826011"/>
    <w:rsid w:val="00826796"/>
    <w:rsid w:val="0083114D"/>
    <w:rsid w:val="00833292"/>
    <w:rsid w:val="008342C1"/>
    <w:rsid w:val="0083590D"/>
    <w:rsid w:val="00835A18"/>
    <w:rsid w:val="00843A80"/>
    <w:rsid w:val="00846DA6"/>
    <w:rsid w:val="00847C18"/>
    <w:rsid w:val="008502E9"/>
    <w:rsid w:val="00852BF6"/>
    <w:rsid w:val="00860331"/>
    <w:rsid w:val="00860AF2"/>
    <w:rsid w:val="00860E46"/>
    <w:rsid w:val="008634CC"/>
    <w:rsid w:val="00865045"/>
    <w:rsid w:val="0086519E"/>
    <w:rsid w:val="00865B8D"/>
    <w:rsid w:val="00866326"/>
    <w:rsid w:val="00866A1B"/>
    <w:rsid w:val="00872471"/>
    <w:rsid w:val="00875DD0"/>
    <w:rsid w:val="00876266"/>
    <w:rsid w:val="0088090F"/>
    <w:rsid w:val="00880CAA"/>
    <w:rsid w:val="00883398"/>
    <w:rsid w:val="00887F45"/>
    <w:rsid w:val="0089463C"/>
    <w:rsid w:val="0089549F"/>
    <w:rsid w:val="008A1E58"/>
    <w:rsid w:val="008A3536"/>
    <w:rsid w:val="008A3D8E"/>
    <w:rsid w:val="008A4A93"/>
    <w:rsid w:val="008A67CC"/>
    <w:rsid w:val="008A695C"/>
    <w:rsid w:val="008A6D4D"/>
    <w:rsid w:val="008A6D89"/>
    <w:rsid w:val="008A72C9"/>
    <w:rsid w:val="008B0ED4"/>
    <w:rsid w:val="008B12ED"/>
    <w:rsid w:val="008B1778"/>
    <w:rsid w:val="008B303B"/>
    <w:rsid w:val="008B4DB8"/>
    <w:rsid w:val="008B6EF3"/>
    <w:rsid w:val="008C10D9"/>
    <w:rsid w:val="008C6655"/>
    <w:rsid w:val="008C7567"/>
    <w:rsid w:val="008C75F9"/>
    <w:rsid w:val="008D4A96"/>
    <w:rsid w:val="008D4F39"/>
    <w:rsid w:val="008D5486"/>
    <w:rsid w:val="008D5976"/>
    <w:rsid w:val="008D714E"/>
    <w:rsid w:val="008D78FE"/>
    <w:rsid w:val="008E0CF4"/>
    <w:rsid w:val="008E4B0A"/>
    <w:rsid w:val="008E5046"/>
    <w:rsid w:val="008E7D2E"/>
    <w:rsid w:val="008F1875"/>
    <w:rsid w:val="008F3D80"/>
    <w:rsid w:val="008F51B3"/>
    <w:rsid w:val="008F7190"/>
    <w:rsid w:val="0090248E"/>
    <w:rsid w:val="009024A2"/>
    <w:rsid w:val="00902737"/>
    <w:rsid w:val="009044B3"/>
    <w:rsid w:val="009044D4"/>
    <w:rsid w:val="00904F95"/>
    <w:rsid w:val="009062AE"/>
    <w:rsid w:val="0090641B"/>
    <w:rsid w:val="009108E0"/>
    <w:rsid w:val="0091244D"/>
    <w:rsid w:val="00915F7D"/>
    <w:rsid w:val="00922139"/>
    <w:rsid w:val="00923496"/>
    <w:rsid w:val="0092451C"/>
    <w:rsid w:val="00924DE0"/>
    <w:rsid w:val="00925A7E"/>
    <w:rsid w:val="00926E57"/>
    <w:rsid w:val="00935128"/>
    <w:rsid w:val="00935A67"/>
    <w:rsid w:val="00940E07"/>
    <w:rsid w:val="00942701"/>
    <w:rsid w:val="009428DC"/>
    <w:rsid w:val="00945378"/>
    <w:rsid w:val="00945549"/>
    <w:rsid w:val="00945D01"/>
    <w:rsid w:val="00946F55"/>
    <w:rsid w:val="00947A28"/>
    <w:rsid w:val="0095022C"/>
    <w:rsid w:val="00954CB7"/>
    <w:rsid w:val="009645A4"/>
    <w:rsid w:val="00965F12"/>
    <w:rsid w:val="0097043E"/>
    <w:rsid w:val="0097258F"/>
    <w:rsid w:val="00972907"/>
    <w:rsid w:val="00972F59"/>
    <w:rsid w:val="00973168"/>
    <w:rsid w:val="0097556E"/>
    <w:rsid w:val="0097571C"/>
    <w:rsid w:val="00977CCE"/>
    <w:rsid w:val="00983E02"/>
    <w:rsid w:val="009908EA"/>
    <w:rsid w:val="0099597C"/>
    <w:rsid w:val="00997C73"/>
    <w:rsid w:val="009A2787"/>
    <w:rsid w:val="009A731D"/>
    <w:rsid w:val="009A743B"/>
    <w:rsid w:val="009A7E11"/>
    <w:rsid w:val="009B057D"/>
    <w:rsid w:val="009B125B"/>
    <w:rsid w:val="009B3933"/>
    <w:rsid w:val="009B7FF2"/>
    <w:rsid w:val="009C0874"/>
    <w:rsid w:val="009C6BA6"/>
    <w:rsid w:val="009D2604"/>
    <w:rsid w:val="009D2837"/>
    <w:rsid w:val="009D30D4"/>
    <w:rsid w:val="009D4CD1"/>
    <w:rsid w:val="009D5D27"/>
    <w:rsid w:val="009E02DE"/>
    <w:rsid w:val="009E0AD7"/>
    <w:rsid w:val="009E2D28"/>
    <w:rsid w:val="009E325E"/>
    <w:rsid w:val="009E7E1C"/>
    <w:rsid w:val="009F2AFE"/>
    <w:rsid w:val="009F35A8"/>
    <w:rsid w:val="009F400A"/>
    <w:rsid w:val="009F6024"/>
    <w:rsid w:val="00A02ED1"/>
    <w:rsid w:val="00A03C4C"/>
    <w:rsid w:val="00A06133"/>
    <w:rsid w:val="00A0729E"/>
    <w:rsid w:val="00A07529"/>
    <w:rsid w:val="00A0795A"/>
    <w:rsid w:val="00A07A2C"/>
    <w:rsid w:val="00A125AB"/>
    <w:rsid w:val="00A12C71"/>
    <w:rsid w:val="00A24D87"/>
    <w:rsid w:val="00A261C3"/>
    <w:rsid w:val="00A26D55"/>
    <w:rsid w:val="00A3006D"/>
    <w:rsid w:val="00A305D6"/>
    <w:rsid w:val="00A31A21"/>
    <w:rsid w:val="00A3206A"/>
    <w:rsid w:val="00A32297"/>
    <w:rsid w:val="00A3330F"/>
    <w:rsid w:val="00A33BFC"/>
    <w:rsid w:val="00A3556E"/>
    <w:rsid w:val="00A35A03"/>
    <w:rsid w:val="00A4156C"/>
    <w:rsid w:val="00A42298"/>
    <w:rsid w:val="00A44051"/>
    <w:rsid w:val="00A45A63"/>
    <w:rsid w:val="00A4684F"/>
    <w:rsid w:val="00A474F0"/>
    <w:rsid w:val="00A50A23"/>
    <w:rsid w:val="00A50BAA"/>
    <w:rsid w:val="00A5357F"/>
    <w:rsid w:val="00A54E0A"/>
    <w:rsid w:val="00A56999"/>
    <w:rsid w:val="00A62F2D"/>
    <w:rsid w:val="00A64F33"/>
    <w:rsid w:val="00A65EC5"/>
    <w:rsid w:val="00A66289"/>
    <w:rsid w:val="00A66D5A"/>
    <w:rsid w:val="00A703C7"/>
    <w:rsid w:val="00A716D4"/>
    <w:rsid w:val="00A71BC4"/>
    <w:rsid w:val="00A7391A"/>
    <w:rsid w:val="00A73A49"/>
    <w:rsid w:val="00A73F49"/>
    <w:rsid w:val="00A76CCB"/>
    <w:rsid w:val="00A8231A"/>
    <w:rsid w:val="00A82700"/>
    <w:rsid w:val="00A8282F"/>
    <w:rsid w:val="00A85BE5"/>
    <w:rsid w:val="00A873F8"/>
    <w:rsid w:val="00A874D3"/>
    <w:rsid w:val="00A92786"/>
    <w:rsid w:val="00A9388E"/>
    <w:rsid w:val="00A93E70"/>
    <w:rsid w:val="00A9652C"/>
    <w:rsid w:val="00A967AA"/>
    <w:rsid w:val="00AA00A6"/>
    <w:rsid w:val="00AA0A43"/>
    <w:rsid w:val="00AA6BDB"/>
    <w:rsid w:val="00AB17AF"/>
    <w:rsid w:val="00AB1B21"/>
    <w:rsid w:val="00AB569C"/>
    <w:rsid w:val="00AC32EB"/>
    <w:rsid w:val="00AC3577"/>
    <w:rsid w:val="00AC364F"/>
    <w:rsid w:val="00AC50D3"/>
    <w:rsid w:val="00AC5A53"/>
    <w:rsid w:val="00AD10DC"/>
    <w:rsid w:val="00AD2185"/>
    <w:rsid w:val="00AD423E"/>
    <w:rsid w:val="00AE011C"/>
    <w:rsid w:val="00AE1328"/>
    <w:rsid w:val="00AE6468"/>
    <w:rsid w:val="00AF09FF"/>
    <w:rsid w:val="00AF0FF8"/>
    <w:rsid w:val="00AF2AFE"/>
    <w:rsid w:val="00AF7681"/>
    <w:rsid w:val="00AF782B"/>
    <w:rsid w:val="00AF7C51"/>
    <w:rsid w:val="00B026EF"/>
    <w:rsid w:val="00B04234"/>
    <w:rsid w:val="00B04D93"/>
    <w:rsid w:val="00B102FC"/>
    <w:rsid w:val="00B1086D"/>
    <w:rsid w:val="00B11CDB"/>
    <w:rsid w:val="00B12F7E"/>
    <w:rsid w:val="00B150C6"/>
    <w:rsid w:val="00B15CD6"/>
    <w:rsid w:val="00B24CB2"/>
    <w:rsid w:val="00B33E13"/>
    <w:rsid w:val="00B366B4"/>
    <w:rsid w:val="00B36913"/>
    <w:rsid w:val="00B37721"/>
    <w:rsid w:val="00B44791"/>
    <w:rsid w:val="00B50144"/>
    <w:rsid w:val="00B502F8"/>
    <w:rsid w:val="00B536E0"/>
    <w:rsid w:val="00B60289"/>
    <w:rsid w:val="00B60A8D"/>
    <w:rsid w:val="00B615AD"/>
    <w:rsid w:val="00B6188D"/>
    <w:rsid w:val="00B65677"/>
    <w:rsid w:val="00B73E78"/>
    <w:rsid w:val="00B743F6"/>
    <w:rsid w:val="00B77B91"/>
    <w:rsid w:val="00B80EA1"/>
    <w:rsid w:val="00B81CC7"/>
    <w:rsid w:val="00B83500"/>
    <w:rsid w:val="00B84F1A"/>
    <w:rsid w:val="00B856AC"/>
    <w:rsid w:val="00B92EF4"/>
    <w:rsid w:val="00B93DA6"/>
    <w:rsid w:val="00B94806"/>
    <w:rsid w:val="00B94CED"/>
    <w:rsid w:val="00B95483"/>
    <w:rsid w:val="00B96AA2"/>
    <w:rsid w:val="00B96ADE"/>
    <w:rsid w:val="00BA1DB5"/>
    <w:rsid w:val="00BA1F2F"/>
    <w:rsid w:val="00BA234A"/>
    <w:rsid w:val="00BA4064"/>
    <w:rsid w:val="00BA4586"/>
    <w:rsid w:val="00BA6EBC"/>
    <w:rsid w:val="00BA73B4"/>
    <w:rsid w:val="00BB053D"/>
    <w:rsid w:val="00BB2F84"/>
    <w:rsid w:val="00BB3045"/>
    <w:rsid w:val="00BB386B"/>
    <w:rsid w:val="00BB70DA"/>
    <w:rsid w:val="00BB7635"/>
    <w:rsid w:val="00BC08D2"/>
    <w:rsid w:val="00BC260E"/>
    <w:rsid w:val="00BC795F"/>
    <w:rsid w:val="00BD38E0"/>
    <w:rsid w:val="00BD3C5C"/>
    <w:rsid w:val="00BD41BA"/>
    <w:rsid w:val="00BD464D"/>
    <w:rsid w:val="00BD62CE"/>
    <w:rsid w:val="00BE29F0"/>
    <w:rsid w:val="00BE5FF4"/>
    <w:rsid w:val="00BF16D8"/>
    <w:rsid w:val="00BF1CB7"/>
    <w:rsid w:val="00BF2A9E"/>
    <w:rsid w:val="00BF3DF4"/>
    <w:rsid w:val="00BF43CB"/>
    <w:rsid w:val="00BF445A"/>
    <w:rsid w:val="00BF6111"/>
    <w:rsid w:val="00BF75AE"/>
    <w:rsid w:val="00C009E8"/>
    <w:rsid w:val="00C014EA"/>
    <w:rsid w:val="00C04276"/>
    <w:rsid w:val="00C04A1D"/>
    <w:rsid w:val="00C04BCD"/>
    <w:rsid w:val="00C05AC3"/>
    <w:rsid w:val="00C12685"/>
    <w:rsid w:val="00C131D7"/>
    <w:rsid w:val="00C14A5F"/>
    <w:rsid w:val="00C16B3B"/>
    <w:rsid w:val="00C2331E"/>
    <w:rsid w:val="00C31F2F"/>
    <w:rsid w:val="00C356D1"/>
    <w:rsid w:val="00C4211A"/>
    <w:rsid w:val="00C4749A"/>
    <w:rsid w:val="00C510A4"/>
    <w:rsid w:val="00C54CBD"/>
    <w:rsid w:val="00C559F9"/>
    <w:rsid w:val="00C614C7"/>
    <w:rsid w:val="00C65415"/>
    <w:rsid w:val="00C6680A"/>
    <w:rsid w:val="00C71AEC"/>
    <w:rsid w:val="00C77ADC"/>
    <w:rsid w:val="00C811E0"/>
    <w:rsid w:val="00C83496"/>
    <w:rsid w:val="00C849BE"/>
    <w:rsid w:val="00C85374"/>
    <w:rsid w:val="00C85A3D"/>
    <w:rsid w:val="00C92A58"/>
    <w:rsid w:val="00C94F03"/>
    <w:rsid w:val="00C950A3"/>
    <w:rsid w:val="00C95F03"/>
    <w:rsid w:val="00C96FBF"/>
    <w:rsid w:val="00CA030D"/>
    <w:rsid w:val="00CA2D9A"/>
    <w:rsid w:val="00CA4529"/>
    <w:rsid w:val="00CB1F5C"/>
    <w:rsid w:val="00CB298C"/>
    <w:rsid w:val="00CC4B61"/>
    <w:rsid w:val="00CD1773"/>
    <w:rsid w:val="00CD486C"/>
    <w:rsid w:val="00CD7855"/>
    <w:rsid w:val="00CE2924"/>
    <w:rsid w:val="00CE2CE8"/>
    <w:rsid w:val="00CE3271"/>
    <w:rsid w:val="00CE409C"/>
    <w:rsid w:val="00CE4CE2"/>
    <w:rsid w:val="00CE6474"/>
    <w:rsid w:val="00CF294C"/>
    <w:rsid w:val="00CF4700"/>
    <w:rsid w:val="00CF619C"/>
    <w:rsid w:val="00D00F45"/>
    <w:rsid w:val="00D03E5C"/>
    <w:rsid w:val="00D1791D"/>
    <w:rsid w:val="00D27A62"/>
    <w:rsid w:val="00D30B05"/>
    <w:rsid w:val="00D30E6C"/>
    <w:rsid w:val="00D31394"/>
    <w:rsid w:val="00D35176"/>
    <w:rsid w:val="00D357EA"/>
    <w:rsid w:val="00D4111C"/>
    <w:rsid w:val="00D411D0"/>
    <w:rsid w:val="00D41441"/>
    <w:rsid w:val="00D420EE"/>
    <w:rsid w:val="00D4255A"/>
    <w:rsid w:val="00D45B76"/>
    <w:rsid w:val="00D51C67"/>
    <w:rsid w:val="00D520B2"/>
    <w:rsid w:val="00D52D09"/>
    <w:rsid w:val="00D6006A"/>
    <w:rsid w:val="00D60AE8"/>
    <w:rsid w:val="00D62DD3"/>
    <w:rsid w:val="00D63A38"/>
    <w:rsid w:val="00D64011"/>
    <w:rsid w:val="00D64EEE"/>
    <w:rsid w:val="00D64EF9"/>
    <w:rsid w:val="00D65E8B"/>
    <w:rsid w:val="00D72C3F"/>
    <w:rsid w:val="00D7422B"/>
    <w:rsid w:val="00D811C0"/>
    <w:rsid w:val="00D8412D"/>
    <w:rsid w:val="00D862C2"/>
    <w:rsid w:val="00D868DE"/>
    <w:rsid w:val="00D90292"/>
    <w:rsid w:val="00D910A1"/>
    <w:rsid w:val="00D91751"/>
    <w:rsid w:val="00D92952"/>
    <w:rsid w:val="00D96207"/>
    <w:rsid w:val="00D97064"/>
    <w:rsid w:val="00DA0070"/>
    <w:rsid w:val="00DB1F8C"/>
    <w:rsid w:val="00DB4FFB"/>
    <w:rsid w:val="00DB57FA"/>
    <w:rsid w:val="00DB709C"/>
    <w:rsid w:val="00DC17CC"/>
    <w:rsid w:val="00DC23EC"/>
    <w:rsid w:val="00DC5C79"/>
    <w:rsid w:val="00DC6ABC"/>
    <w:rsid w:val="00DD002F"/>
    <w:rsid w:val="00DD203B"/>
    <w:rsid w:val="00DD2C96"/>
    <w:rsid w:val="00DD3742"/>
    <w:rsid w:val="00DD6546"/>
    <w:rsid w:val="00DE60F8"/>
    <w:rsid w:val="00DF26C9"/>
    <w:rsid w:val="00DF4448"/>
    <w:rsid w:val="00DF71D8"/>
    <w:rsid w:val="00E02238"/>
    <w:rsid w:val="00E04256"/>
    <w:rsid w:val="00E0489F"/>
    <w:rsid w:val="00E05EF2"/>
    <w:rsid w:val="00E07F9B"/>
    <w:rsid w:val="00E1012B"/>
    <w:rsid w:val="00E1064C"/>
    <w:rsid w:val="00E140B2"/>
    <w:rsid w:val="00E1444E"/>
    <w:rsid w:val="00E15042"/>
    <w:rsid w:val="00E172EC"/>
    <w:rsid w:val="00E17B8E"/>
    <w:rsid w:val="00E20A57"/>
    <w:rsid w:val="00E213A6"/>
    <w:rsid w:val="00E264AA"/>
    <w:rsid w:val="00E2739F"/>
    <w:rsid w:val="00E304BB"/>
    <w:rsid w:val="00E31071"/>
    <w:rsid w:val="00E31A6D"/>
    <w:rsid w:val="00E339FE"/>
    <w:rsid w:val="00E341C9"/>
    <w:rsid w:val="00E35ADD"/>
    <w:rsid w:val="00E42D4C"/>
    <w:rsid w:val="00E43213"/>
    <w:rsid w:val="00E45C5A"/>
    <w:rsid w:val="00E5153A"/>
    <w:rsid w:val="00E57AA0"/>
    <w:rsid w:val="00E61E54"/>
    <w:rsid w:val="00E65A8A"/>
    <w:rsid w:val="00E67605"/>
    <w:rsid w:val="00E70643"/>
    <w:rsid w:val="00E7072F"/>
    <w:rsid w:val="00E73994"/>
    <w:rsid w:val="00E74A49"/>
    <w:rsid w:val="00E7622A"/>
    <w:rsid w:val="00E80DB5"/>
    <w:rsid w:val="00E8422B"/>
    <w:rsid w:val="00E85C15"/>
    <w:rsid w:val="00E87D0F"/>
    <w:rsid w:val="00E90CC0"/>
    <w:rsid w:val="00E9260A"/>
    <w:rsid w:val="00E935FB"/>
    <w:rsid w:val="00E95977"/>
    <w:rsid w:val="00E95CC0"/>
    <w:rsid w:val="00E96ECF"/>
    <w:rsid w:val="00EA5BD1"/>
    <w:rsid w:val="00EA5C3C"/>
    <w:rsid w:val="00EC0332"/>
    <w:rsid w:val="00EC4273"/>
    <w:rsid w:val="00EC7503"/>
    <w:rsid w:val="00ED3247"/>
    <w:rsid w:val="00ED34A8"/>
    <w:rsid w:val="00EE12CF"/>
    <w:rsid w:val="00EE2517"/>
    <w:rsid w:val="00EE3BB3"/>
    <w:rsid w:val="00EE3E4D"/>
    <w:rsid w:val="00EE450B"/>
    <w:rsid w:val="00EE478B"/>
    <w:rsid w:val="00EE4A4E"/>
    <w:rsid w:val="00EE5FF3"/>
    <w:rsid w:val="00EF1032"/>
    <w:rsid w:val="00EF28D0"/>
    <w:rsid w:val="00EF41B7"/>
    <w:rsid w:val="00EF58EC"/>
    <w:rsid w:val="00EF78F8"/>
    <w:rsid w:val="00EF7F28"/>
    <w:rsid w:val="00F010DF"/>
    <w:rsid w:val="00F0140B"/>
    <w:rsid w:val="00F054FC"/>
    <w:rsid w:val="00F06743"/>
    <w:rsid w:val="00F10FEC"/>
    <w:rsid w:val="00F1285B"/>
    <w:rsid w:val="00F16E46"/>
    <w:rsid w:val="00F17EA5"/>
    <w:rsid w:val="00F2008D"/>
    <w:rsid w:val="00F20851"/>
    <w:rsid w:val="00F259F7"/>
    <w:rsid w:val="00F26A81"/>
    <w:rsid w:val="00F33427"/>
    <w:rsid w:val="00F33A02"/>
    <w:rsid w:val="00F47A56"/>
    <w:rsid w:val="00F53129"/>
    <w:rsid w:val="00F53A60"/>
    <w:rsid w:val="00F55056"/>
    <w:rsid w:val="00F60A6D"/>
    <w:rsid w:val="00F62E3A"/>
    <w:rsid w:val="00F644B0"/>
    <w:rsid w:val="00F64761"/>
    <w:rsid w:val="00F661D7"/>
    <w:rsid w:val="00F73628"/>
    <w:rsid w:val="00F754A8"/>
    <w:rsid w:val="00F7613E"/>
    <w:rsid w:val="00F80FCB"/>
    <w:rsid w:val="00F86860"/>
    <w:rsid w:val="00F868F8"/>
    <w:rsid w:val="00F92796"/>
    <w:rsid w:val="00F94258"/>
    <w:rsid w:val="00F9497D"/>
    <w:rsid w:val="00F9519A"/>
    <w:rsid w:val="00F9645E"/>
    <w:rsid w:val="00F965EB"/>
    <w:rsid w:val="00FA07EC"/>
    <w:rsid w:val="00FA33FB"/>
    <w:rsid w:val="00FA39E4"/>
    <w:rsid w:val="00FA4066"/>
    <w:rsid w:val="00FA41C0"/>
    <w:rsid w:val="00FA4834"/>
    <w:rsid w:val="00FA674F"/>
    <w:rsid w:val="00FA7D0B"/>
    <w:rsid w:val="00FB29B5"/>
    <w:rsid w:val="00FC089D"/>
    <w:rsid w:val="00FC3A50"/>
    <w:rsid w:val="00FC5F3E"/>
    <w:rsid w:val="00FD29F4"/>
    <w:rsid w:val="00FD2ABA"/>
    <w:rsid w:val="00FD3234"/>
    <w:rsid w:val="00FD32EB"/>
    <w:rsid w:val="00FD364F"/>
    <w:rsid w:val="00FD6728"/>
    <w:rsid w:val="00FE26C5"/>
    <w:rsid w:val="00FE45B2"/>
    <w:rsid w:val="00FE518F"/>
    <w:rsid w:val="00FE5541"/>
    <w:rsid w:val="00FE6992"/>
    <w:rsid w:val="00FF1FFF"/>
    <w:rsid w:val="00FF311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2F8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35C74"/>
  </w:style>
  <w:style w:type="paragraph" w:styleId="Normlnweb">
    <w:name w:val="Normal (Web)"/>
    <w:basedOn w:val="Normln"/>
    <w:uiPriority w:val="99"/>
    <w:semiHidden/>
    <w:unhideWhenUsed/>
    <w:rsid w:val="008D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5486"/>
    <w:rPr>
      <w:b/>
      <w:bCs/>
    </w:rPr>
  </w:style>
  <w:style w:type="character" w:styleId="Zvraznn">
    <w:name w:val="Emphasis"/>
    <w:basedOn w:val="Standardnpsmoodstavce"/>
    <w:uiPriority w:val="20"/>
    <w:qFormat/>
    <w:rsid w:val="008D5486"/>
    <w:rPr>
      <w:i/>
      <w:iCs/>
    </w:rPr>
  </w:style>
  <w:style w:type="paragraph" w:styleId="Odstavecseseznamem">
    <w:name w:val="List Paragraph"/>
    <w:basedOn w:val="Normln"/>
    <w:uiPriority w:val="34"/>
    <w:qFormat/>
    <w:rsid w:val="003E25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7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2F8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35C74"/>
  </w:style>
  <w:style w:type="paragraph" w:styleId="Normlnweb">
    <w:name w:val="Normal (Web)"/>
    <w:basedOn w:val="Normln"/>
    <w:uiPriority w:val="99"/>
    <w:semiHidden/>
    <w:unhideWhenUsed/>
    <w:rsid w:val="008D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5486"/>
    <w:rPr>
      <w:b/>
      <w:bCs/>
    </w:rPr>
  </w:style>
  <w:style w:type="character" w:styleId="Zvraznn">
    <w:name w:val="Emphasis"/>
    <w:basedOn w:val="Standardnpsmoodstavce"/>
    <w:uiPriority w:val="20"/>
    <w:qFormat/>
    <w:rsid w:val="008D5486"/>
    <w:rPr>
      <w:i/>
      <w:iCs/>
    </w:rPr>
  </w:style>
  <w:style w:type="paragraph" w:styleId="Odstavecseseznamem">
    <w:name w:val="List Paragraph"/>
    <w:basedOn w:val="Normln"/>
    <w:uiPriority w:val="34"/>
    <w:qFormat/>
    <w:rsid w:val="003E25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7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4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7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3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6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5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s@prf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Antos</dc:creator>
  <cp:lastModifiedBy>Marek Antos</cp:lastModifiedBy>
  <cp:revision>7</cp:revision>
  <dcterms:created xsi:type="dcterms:W3CDTF">2015-02-01T16:40:00Z</dcterms:created>
  <dcterms:modified xsi:type="dcterms:W3CDTF">2015-02-02T11:45:00Z</dcterms:modified>
</cp:coreProperties>
</file>