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5D611AE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Worksheet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="000718F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Metaphysics</w:t>
      </w:r>
      <w:proofErr w:type="spellEnd"/>
    </w:p>
    <w:p w14:paraId="00000002" w14:textId="40A8B65E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Name:</w:t>
      </w:r>
      <w:r w:rsidR="00E62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00000003" w14:textId="27C92B20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Skimming</w:t>
      </w:r>
      <w:proofErr w:type="spellEnd"/>
      <w:r w:rsidR="00E46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46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text</w:t>
      </w:r>
    </w:p>
    <w:p w14:paraId="00000004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and</w:t>
      </w:r>
    </w:p>
    <w:p w14:paraId="00000005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blanks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 .................. ..................... .................. </w:t>
      </w:r>
    </w:p>
    <w:p w14:paraId="00000008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A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 .................. ..................... ..................... </w:t>
      </w:r>
    </w:p>
    <w:p w14:paraId="0000000D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paragraph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F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probably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0000010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2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4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6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8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A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B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D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E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F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0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1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2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3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4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5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6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6.1 Substance</w:t>
      </w:r>
    </w:p>
    <w:p w14:paraId="00000027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Latin term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substantia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translated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“substance,”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basic reality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supporting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features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incidental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dualists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Indian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idea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atomism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persistence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identity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despite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introduced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explored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Theseus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experiment.</w:t>
      </w:r>
    </w:p>
    <w:p w14:paraId="00000028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Identity</w:t>
      </w:r>
    </w:p>
    <w:p w14:paraId="00000029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answers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Judeo-Christian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soul. Hindu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Buddhist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 and has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typically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translated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eternal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soul,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breath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Judeo-Christian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soul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reincarnated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until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release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reincarnation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moksha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Buddhist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anatman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Western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enduring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persistent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Buddhism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ephemeral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A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(3) A second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issue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addressed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subsection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reality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mind.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brain.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Perhaps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reduce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independent mind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outdated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consciousness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awareness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aware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Behaviorism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behavior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ultimate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reality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B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Cosmology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Existence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God</w:t>
      </w:r>
      <w:proofErr w:type="spellEnd"/>
    </w:p>
    <w:p w14:paraId="0000002C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demonstrate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occurred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across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multiple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cultures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Cosmological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a posteriori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cause.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Ontological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call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a priori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These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much as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geometer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triangle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triangularity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do not appeal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basic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attributes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D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against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evidential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reality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suffering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attributes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suffering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As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cosmology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(such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African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Yoruban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do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particular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issue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Augustine,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cosmology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answer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absence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existed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merely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(absence)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E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6.4 Free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Will</w:t>
      </w:r>
      <w:proofErr w:type="spellEnd"/>
    </w:p>
    <w:p w14:paraId="0000002F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(6)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libertarian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response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declares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free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outside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causality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governing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free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culpable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decisions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response,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governed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although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accompanied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a feeling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are not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free.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soft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as long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face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constraints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hand,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free. Soft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compatibilist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alternative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possibilities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compatible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Indeterminism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capture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reality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cause-and-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totality,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asserts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outside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cause-and-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sequence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assert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0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31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Comprehension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check</w:t>
      </w:r>
      <w:proofErr w:type="spellEnd"/>
    </w:p>
    <w:p w14:paraId="00000032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decide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whether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“T”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“F”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33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4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Judeo-Christian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soul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reincarnated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until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release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reincarnation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moksha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…</w:t>
      </w:r>
    </w:p>
    <w:p w14:paraId="00000035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brain. …</w:t>
      </w:r>
    </w:p>
    <w:p w14:paraId="00000036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Ontological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call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a priori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…</w:t>
      </w:r>
    </w:p>
    <w:p w14:paraId="00000037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Augustine,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cosmology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answer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absence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8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libertarian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response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declares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free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outside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causality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governing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…</w:t>
      </w:r>
    </w:p>
    <w:p w14:paraId="00000039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A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3B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Multiple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choice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questions</w:t>
      </w:r>
      <w:proofErr w:type="spellEnd"/>
    </w:p>
    <w:p w14:paraId="0000003C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carefully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select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appropriate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multiple-choice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items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be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one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correct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.</w:t>
      </w:r>
    </w:p>
    <w:p w14:paraId="0000003D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subtantia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translated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to?</w:t>
      </w:r>
    </w:p>
    <w:p w14:paraId="0000003E" w14:textId="77777777" w:rsidR="00474C0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</w:t>
      </w:r>
    </w:p>
    <w:p w14:paraId="0000003F" w14:textId="77777777" w:rsidR="00474C0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Substance</w:t>
      </w:r>
    </w:p>
    <w:p w14:paraId="00000040" w14:textId="77777777" w:rsidR="00474C0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Liquid</w:t>
      </w:r>
      <w:proofErr w:type="spellEnd"/>
    </w:p>
    <w:p w14:paraId="00000041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2" w14:textId="77777777" w:rsidR="00474C0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Soul</w:t>
      </w:r>
    </w:p>
    <w:p w14:paraId="00000043" w14:textId="77777777" w:rsidR="00474C0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Eternal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</w:p>
    <w:p w14:paraId="00000044" w14:textId="77777777" w:rsidR="00474C0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Breath</w:t>
      </w:r>
      <w:proofErr w:type="spellEnd"/>
    </w:p>
    <w:p w14:paraId="00000045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Cosmological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consider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found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6" w14:textId="77777777" w:rsidR="00474C0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Reality</w:t>
      </w:r>
    </w:p>
    <w:p w14:paraId="00000047" w14:textId="77777777" w:rsidR="00474C0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</w:p>
    <w:p w14:paraId="00000048" w14:textId="77777777" w:rsidR="00474C0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Life</w:t>
      </w:r>
      <w:proofErr w:type="spellEnd"/>
    </w:p>
    <w:p w14:paraId="00000049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evidential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problem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evil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consider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A" w14:textId="77777777" w:rsidR="00474C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Reality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suffering</w:t>
      </w:r>
      <w:proofErr w:type="spellEnd"/>
    </w:p>
    <w:p w14:paraId="0000004B" w14:textId="77777777" w:rsidR="00474C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Reality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pain</w:t>
      </w:r>
      <w:proofErr w:type="spellEnd"/>
    </w:p>
    <w:p w14:paraId="0000004C" w14:textId="77777777" w:rsidR="00474C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Reality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death</w:t>
      </w:r>
      <w:proofErr w:type="spellEnd"/>
    </w:p>
    <w:p w14:paraId="0000004D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E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Indeterminism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observe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F" w14:textId="77777777" w:rsidR="00474C0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capture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reality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cause-and-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totality</w:t>
      </w:r>
    </w:p>
    <w:p w14:paraId="00000050" w14:textId="77777777" w:rsidR="00474C0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capture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fantasy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cause-and-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totality</w:t>
      </w:r>
    </w:p>
    <w:p w14:paraId="00000051" w14:textId="77777777" w:rsidR="00474C0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capture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reality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cause-and-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totality</w:t>
      </w:r>
    </w:p>
    <w:p w14:paraId="00000052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3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Synonym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finding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00000054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 single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</w:p>
    <w:p w14:paraId="00000055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Characteristics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</w:t>
      </w:r>
    </w:p>
    <w:p w14:paraId="00000056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Assert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2)………………</w:t>
      </w:r>
    </w:p>
    <w:p w14:paraId="00000057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Spirit (para. 2)………………</w:t>
      </w:r>
    </w:p>
    <w:p w14:paraId="00000058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Autonomous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3)………………</w:t>
      </w:r>
    </w:p>
    <w:p w14:paraId="00000059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Illustrate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4)………………</w:t>
      </w:r>
    </w:p>
    <w:p w14:paraId="0000005A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4)………………</w:t>
      </w:r>
    </w:p>
    <w:p w14:paraId="0000005B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Agony (para. 5)………………</w:t>
      </w:r>
    </w:p>
    <w:p w14:paraId="0000005C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Liberty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(para. 6)………………</w:t>
      </w:r>
    </w:p>
    <w:p w14:paraId="0000005D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Division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6)………………</w:t>
      </w:r>
    </w:p>
    <w:p w14:paraId="0000005E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Beyond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6)………………</w:t>
      </w:r>
    </w:p>
    <w:p w14:paraId="0000005F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0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Matching</w:t>
      </w:r>
      <w:proofErr w:type="spellEnd"/>
    </w:p>
    <w:p w14:paraId="00000061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Match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definitions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62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Anatman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3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Compatibilism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4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Cosmological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</w:p>
    <w:p w14:paraId="00000065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Dualism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6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7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8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Naturalism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9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Ontological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</w:p>
    <w:p w14:paraId="0000006A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Ontology </w:t>
      </w:r>
    </w:p>
    <w:p w14:paraId="0000006B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Teleological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</w:p>
    <w:p w14:paraId="0000006C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Universal </w:t>
      </w:r>
    </w:p>
    <w:p w14:paraId="0000006D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E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F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field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concerned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</w:t>
      </w:r>
      <w:proofErr w:type="spellEnd"/>
    </w:p>
    <w:p w14:paraId="00000070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presence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purpose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</w:p>
    <w:p w14:paraId="00000071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rejection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any non-natural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appeal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supernatural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</w:p>
    <w:p w14:paraId="00000072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compatible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culpability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agent</w:t>
      </w:r>
    </w:p>
    <w:p w14:paraId="00000073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reality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accounts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specific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</w:p>
    <w:p w14:paraId="00000074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field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dedicated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</w:p>
    <w:p w14:paraId="00000075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Buddhist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no-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(as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retaining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identity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76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reality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comprised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fundamental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</w:p>
    <w:p w14:paraId="00000077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types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account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scrutiny</w:t>
      </w:r>
      <w:proofErr w:type="spellEnd"/>
    </w:p>
    <w:p w14:paraId="00000078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built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attribute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</w:t>
      </w:r>
    </w:p>
    <w:p w14:paraId="00000079" w14:textId="77777777" w:rsidR="00474C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 type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cosmic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causality</w:t>
      </w:r>
      <w:proofErr w:type="spellEnd"/>
    </w:p>
    <w:p w14:paraId="0000007A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B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Cloze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test </w:t>
      </w:r>
    </w:p>
    <w:p w14:paraId="0000007C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missing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text.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blank</w:t>
      </w:r>
      <w:proofErr w:type="spellEnd"/>
    </w:p>
    <w:p w14:paraId="0000007D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7E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Causal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Determinacy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Past</w:t>
      </w:r>
    </w:p>
    <w:p w14:paraId="0000007F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built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past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……….. 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Perhaps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simplest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express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causal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holds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reflect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influential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shaping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decisions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make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expressions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reflect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causal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fooled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my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…………. 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happened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least, limit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event horizon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0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limited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socio-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status,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permissible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As Ralph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Waldo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Emerson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quipped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“don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knapsack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knapsack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1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distinction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compatibilism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compatible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incompatibilist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asserts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culpable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soft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free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salvage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culpability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incompatibility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definition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PAP.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Frankfurt’s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framing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fulfilling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higher-order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volitions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very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do so.</w:t>
      </w:r>
    </w:p>
    <w:p w14:paraId="00000082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William James (1842–1910)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indeterminism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rigidly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controlled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uncaused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cause-and-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sequences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such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uncaused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dominoes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happen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setting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indeterminist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uncaused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genuine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extension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hopes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praised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criticized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3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8"/>
          <w:szCs w:val="28"/>
        </w:rPr>
      </w:pPr>
    </w:p>
    <w:p w14:paraId="00000084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A) vision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</w:p>
    <w:p w14:paraId="00000085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mistakes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fails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</w:p>
    <w:p w14:paraId="00000086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7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A) free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B)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broken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healed</w:t>
      </w:r>
      <w:proofErr w:type="spellEnd"/>
    </w:p>
    <w:p w14:paraId="00000087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uncompatible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compatible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</w:p>
    <w:p w14:paraId="00000088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C) idea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option</w:t>
      </w:r>
      <w:proofErr w:type="spellEnd"/>
    </w:p>
    <w:p w14:paraId="00000089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000008A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000008B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000008C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000008D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000008E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000008F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0000090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0000091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Source: </w:t>
      </w:r>
    </w:p>
    <w:p w14:paraId="00000092" w14:textId="77777777" w:rsidR="00474C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Smith, N. (2022). 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Introduction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Philosophy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Houstom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, Texas: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OpenStax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.</w:t>
      </w:r>
    </w:p>
    <w:p w14:paraId="00000093" w14:textId="77777777" w:rsidR="00474C03" w:rsidRDefault="00474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74C03">
      <w:headerReference w:type="default" r:id="rId7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B8D0" w14:textId="77777777" w:rsidR="005A4F45" w:rsidRDefault="005A4F45" w:rsidP="00E62F86">
      <w:pPr>
        <w:spacing w:after="0" w:line="240" w:lineRule="auto"/>
      </w:pPr>
      <w:r>
        <w:separator/>
      </w:r>
    </w:p>
  </w:endnote>
  <w:endnote w:type="continuationSeparator" w:id="0">
    <w:p w14:paraId="69BD07B5" w14:textId="77777777" w:rsidR="005A4F45" w:rsidRDefault="005A4F45" w:rsidP="00E6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6A3A" w14:textId="77777777" w:rsidR="005A4F45" w:rsidRDefault="005A4F45" w:rsidP="00E62F86">
      <w:pPr>
        <w:spacing w:after="0" w:line="240" w:lineRule="auto"/>
      </w:pPr>
      <w:r>
        <w:separator/>
      </w:r>
    </w:p>
  </w:footnote>
  <w:footnote w:type="continuationSeparator" w:id="0">
    <w:p w14:paraId="29CA3558" w14:textId="77777777" w:rsidR="005A4F45" w:rsidRDefault="005A4F45" w:rsidP="00E6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E9C3" w14:textId="77777777" w:rsidR="00E62F86" w:rsidRPr="00E62F86" w:rsidRDefault="00E62F86" w:rsidP="00E62F86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bookmarkStart w:id="1" w:name="_Hlk150171968"/>
    <w:r w:rsidRPr="00E62F86">
      <w:rPr>
        <w:rFonts w:cs="Times New Roman"/>
        <w:b/>
        <w:lang w:val="en-GB" w:eastAsia="en-US"/>
      </w:rPr>
      <w:t>Academic English 2</w:t>
    </w:r>
  </w:p>
  <w:p w14:paraId="3EC1D6A0" w14:textId="77777777" w:rsidR="00E62F86" w:rsidRPr="00E62F86" w:rsidRDefault="00E62F86" w:rsidP="00E62F86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r w:rsidRPr="00E62F86">
      <w:rPr>
        <w:rFonts w:cs="Times New Roman"/>
        <w:b/>
        <w:lang w:val="en-GB" w:eastAsia="en-US"/>
      </w:rPr>
      <w:t xml:space="preserve">KJAZ157/055/257 Summer Term </w:t>
    </w:r>
  </w:p>
  <w:p w14:paraId="2D538A79" w14:textId="77777777" w:rsidR="00E62F86" w:rsidRPr="00E62F86" w:rsidRDefault="00E62F86" w:rsidP="00E62F86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 w:eastAsia="en-US"/>
      </w:rPr>
    </w:pPr>
    <w:proofErr w:type="spellStart"/>
    <w:r w:rsidRPr="00E62F86">
      <w:rPr>
        <w:rFonts w:cs="Times New Roman"/>
        <w:lang w:val="en-GB" w:eastAsia="en-US"/>
      </w:rPr>
      <w:t>ThLic</w:t>
    </w:r>
    <w:proofErr w:type="spellEnd"/>
    <w:r w:rsidRPr="00E62F86">
      <w:rPr>
        <w:rFonts w:cs="Times New Roman"/>
        <w:lang w:val="en-GB" w:eastAsia="en-US"/>
      </w:rPr>
      <w:t xml:space="preserve">. Mgr. Lenka M. Demartini, PhD.; </w:t>
    </w:r>
    <w:r w:rsidRPr="00E62F86">
      <w:rPr>
        <w:rFonts w:cs="Times New Roman"/>
        <w:b/>
        <w:lang w:val="en-GB" w:eastAsia="en-US"/>
      </w:rPr>
      <w:t>Contact</w:t>
    </w:r>
    <w:r w:rsidRPr="00E62F86">
      <w:rPr>
        <w:rFonts w:cs="Times New Roman"/>
        <w:lang w:val="en-GB" w:eastAsia="en-US"/>
      </w:rPr>
      <w:t xml:space="preserve">: </w:t>
    </w:r>
    <w:hyperlink r:id="rId1" w:history="1">
      <w:r w:rsidRPr="00E62F86">
        <w:rPr>
          <w:rFonts w:cs="Times New Roman"/>
          <w:color w:val="0563C1"/>
          <w:u w:val="single"/>
          <w:lang w:val="en-GB" w:eastAsia="en-US"/>
        </w:rPr>
        <w:t>demartini@ktf.cuni.cz</w:t>
      </w:r>
    </w:hyperlink>
    <w:r w:rsidRPr="00E62F86">
      <w:rPr>
        <w:rFonts w:cs="Times New Roman"/>
        <w:lang w:val="en-GB" w:eastAsia="en-US"/>
      </w:rPr>
      <w:t xml:space="preserve">, </w:t>
    </w:r>
    <w:bookmarkStart w:id="2" w:name="_Hlk153317929"/>
    <w:r w:rsidRPr="00E62F86">
      <w:rPr>
        <w:rFonts w:cs="Times New Roman"/>
        <w:lang w:val="en-GB" w:eastAsia="en-US"/>
      </w:rPr>
      <w:t>Department of Ecclesiastical History and Literary History</w:t>
    </w:r>
    <w:bookmarkEnd w:id="2"/>
    <w:r w:rsidRPr="00E62F86">
      <w:rPr>
        <w:rFonts w:cs="Times New Roman"/>
        <w:lang w:val="en-GB" w:eastAsia="en-US"/>
      </w:rPr>
      <w:t>, Room 1067 (the 1</w:t>
    </w:r>
    <w:r w:rsidRPr="00E62F86">
      <w:rPr>
        <w:rFonts w:cs="Times New Roman"/>
        <w:vertAlign w:val="superscript"/>
        <w:lang w:val="en-GB" w:eastAsia="en-US"/>
      </w:rPr>
      <w:t>st</w:t>
    </w:r>
    <w:r w:rsidRPr="00E62F86">
      <w:rPr>
        <w:rFonts w:cs="Times New Roman"/>
        <w:lang w:val="en-GB" w:eastAsia="en-US"/>
      </w:rPr>
      <w:t xml:space="preserve"> floor, the last left door of the corridor</w:t>
    </w:r>
    <w:bookmarkEnd w:id="1"/>
  </w:p>
  <w:p w14:paraId="5D2CD346" w14:textId="77777777" w:rsidR="00E62F86" w:rsidRPr="00E62F86" w:rsidRDefault="00E62F86" w:rsidP="00E62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06C4"/>
    <w:multiLevelType w:val="multilevel"/>
    <w:tmpl w:val="9C2AA4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0CC0"/>
    <w:multiLevelType w:val="multilevel"/>
    <w:tmpl w:val="C992705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23F7A"/>
    <w:multiLevelType w:val="multilevel"/>
    <w:tmpl w:val="BA5013C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04CF4"/>
    <w:multiLevelType w:val="multilevel"/>
    <w:tmpl w:val="E630628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C5BC1"/>
    <w:multiLevelType w:val="multilevel"/>
    <w:tmpl w:val="6F5A298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24F28"/>
    <w:multiLevelType w:val="multilevel"/>
    <w:tmpl w:val="EFF659B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4234394">
    <w:abstractNumId w:val="3"/>
  </w:num>
  <w:num w:numId="2" w16cid:durableId="1229880987">
    <w:abstractNumId w:val="2"/>
  </w:num>
  <w:num w:numId="3" w16cid:durableId="1241791924">
    <w:abstractNumId w:val="0"/>
  </w:num>
  <w:num w:numId="4" w16cid:durableId="842624448">
    <w:abstractNumId w:val="4"/>
  </w:num>
  <w:num w:numId="5" w16cid:durableId="5863280">
    <w:abstractNumId w:val="5"/>
  </w:num>
  <w:num w:numId="6" w16cid:durableId="40271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03"/>
    <w:rsid w:val="000718F5"/>
    <w:rsid w:val="00474C03"/>
    <w:rsid w:val="005A4F45"/>
    <w:rsid w:val="0083161F"/>
    <w:rsid w:val="009351BB"/>
    <w:rsid w:val="00E46565"/>
    <w:rsid w:val="00E62F86"/>
    <w:rsid w:val="00F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30279"/>
  <w15:docId w15:val="{DABB27BB-63D7-44C5-A7B8-649DB470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E6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F86"/>
  </w:style>
  <w:style w:type="paragraph" w:styleId="Zpat">
    <w:name w:val="footer"/>
    <w:basedOn w:val="Normln"/>
    <w:link w:val="ZpatChar"/>
    <w:uiPriority w:val="99"/>
    <w:unhideWhenUsed/>
    <w:rsid w:val="00E6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1754</Words>
  <Characters>9419</Characters>
  <Application>Microsoft Office Word</Application>
  <DocSecurity>0</DocSecurity>
  <Lines>254</Lines>
  <Paragraphs>248</Paragraphs>
  <ScaleCrop>false</ScaleCrop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Lenísek</dc:creator>
  <cp:lastModifiedBy>Lenka Demartini</cp:lastModifiedBy>
  <cp:revision>4</cp:revision>
  <dcterms:created xsi:type="dcterms:W3CDTF">2024-01-11T00:08:00Z</dcterms:created>
  <dcterms:modified xsi:type="dcterms:W3CDTF">2024-02-20T22:43:00Z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65deb7859fa067726afa2afb14858d60761f690084c943d9cd1e5f9fb9390e5e</vt:lpwstr>
  </property>
</Properties>
</file>